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6D839" w14:textId="77777777" w:rsidR="00DD2D2B" w:rsidRPr="00A97A7B" w:rsidRDefault="00DD2D2B" w:rsidP="00DD2D2B">
      <w:r>
        <w:t>(Solo per il Programma ISV Royalty)</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63B5B428" w:rsidR="00090FA2" w:rsidRPr="004C6708" w:rsidRDefault="00090FA2" w:rsidP="007D2590">
            <w:pPr>
              <w:pStyle w:val="Heading1"/>
              <w:numPr>
                <w:ilvl w:val="0"/>
                <w:numId w:val="0"/>
              </w:numPr>
              <w:spacing w:before="60" w:after="0"/>
              <w:rPr>
                <w:bCs w:val="0"/>
                <w:sz w:val="24"/>
                <w:szCs w:val="24"/>
                <w:vertAlign w:val="superscript"/>
              </w:rPr>
            </w:pPr>
            <w:r>
              <w:rPr>
                <w:sz w:val="24"/>
                <w:szCs w:val="24"/>
              </w:rPr>
              <w:t>Microsoft Azure DevOps Server 2019</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5B1156" w:rsidRDefault="00090FA2" w:rsidP="00AE1920">
            <w:pPr>
              <w:rPr>
                <w:rFonts w:eastAsia="SimSun"/>
                <w:b/>
                <w:bCs/>
                <w:sz w:val="24"/>
                <w:szCs w:val="24"/>
                <w:lang w:eastAsia="en-US" w:bidi="ar-SA"/>
              </w:rPr>
            </w:pPr>
          </w:p>
          <w:p w14:paraId="203668E2" w14:textId="10FBB2B0" w:rsidR="00090FA2" w:rsidRPr="00A97A7B" w:rsidRDefault="00090FA2" w:rsidP="00AE1920">
            <w:pPr>
              <w:pStyle w:val="LicenseNumber"/>
            </w:pPr>
            <w:r>
              <w:rPr>
                <w:rFonts w:cs="Tahoma"/>
                <w:sz w:val="24"/>
                <w:szCs w:val="24"/>
              </w:rPr>
              <w:t xml:space="preserve">Licenze Server: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008B2BBF">
              <w:rPr>
                <w:rFonts w:cs="Tahoma"/>
                <w:noProof/>
                <w:sz w:val="24"/>
                <w:szCs w:val="24"/>
                <w:u w:val="single"/>
                <w:lang w:val="fr-FR"/>
              </w:rPr>
              <w:t> </w:t>
            </w:r>
            <w:r w:rsidR="008B2BBF">
              <w:rPr>
                <w:rFonts w:cs="Tahoma"/>
                <w:noProof/>
                <w:sz w:val="24"/>
                <w:szCs w:val="24"/>
                <w:u w:val="single"/>
                <w:lang w:val="fr-FR"/>
              </w:rPr>
              <w:t> </w:t>
            </w:r>
            <w:r w:rsidR="008B2BBF">
              <w:rPr>
                <w:rFonts w:cs="Tahoma"/>
                <w:noProof/>
                <w:sz w:val="24"/>
                <w:szCs w:val="24"/>
                <w:u w:val="single"/>
                <w:lang w:val="fr-FR"/>
              </w:rPr>
              <w:t> </w:t>
            </w:r>
            <w:r w:rsidR="008B2BBF">
              <w:rPr>
                <w:rFonts w:cs="Tahoma"/>
                <w:noProof/>
                <w:sz w:val="24"/>
                <w:szCs w:val="24"/>
                <w:u w:val="single"/>
                <w:lang w:val="fr-FR"/>
              </w:rPr>
              <w:t> </w:t>
            </w:r>
            <w:r w:rsidR="008B2BBF">
              <w:rPr>
                <w:rFonts w:cs="Tahoma"/>
                <w:noProof/>
                <w:sz w:val="24"/>
                <w:szCs w:val="24"/>
                <w:u w:val="single"/>
                <w:lang w:val="fr-FR"/>
              </w:rPr>
              <w:t> </w:t>
            </w:r>
            <w:bookmarkEnd w:id="0"/>
            <w:r>
              <w:fldChar w:fldCharType="end"/>
            </w:r>
            <w:r w:rsidR="0072782A" w:rsidRPr="004C6708">
              <w:rPr>
                <w:rFonts w:cs="Tahoma"/>
                <w:bCs w:val="0"/>
                <w:sz w:val="24"/>
                <w:szCs w:val="24"/>
                <w:u w:color="FFFFFF"/>
                <w:vertAlign w:val="superscript"/>
              </w:rPr>
              <w:footnoteReference w:id="2"/>
            </w:r>
            <w:r>
              <w:rPr>
                <w:rFonts w:cs="Tahoma"/>
                <w:sz w:val="24"/>
                <w:szCs w:val="24"/>
                <w:u w:val="single"/>
              </w:rPr>
              <w:t xml:space="preserve"> </w:t>
            </w:r>
          </w:p>
          <w:p w14:paraId="62626304" w14:textId="3C79E800" w:rsidR="00090FA2" w:rsidRPr="00A97A7B" w:rsidRDefault="00090FA2" w:rsidP="00AE1920">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008B2BBF">
              <w:rPr>
                <w:rFonts w:cs="Tahoma"/>
                <w:noProof/>
                <w:sz w:val="24"/>
                <w:szCs w:val="24"/>
                <w:u w:val="single"/>
                <w:lang w:val="fr-FR"/>
              </w:rPr>
              <w:t> </w:t>
            </w:r>
            <w:r w:rsidR="008B2BBF">
              <w:rPr>
                <w:rFonts w:cs="Tahoma"/>
                <w:noProof/>
                <w:sz w:val="24"/>
                <w:szCs w:val="24"/>
                <w:u w:val="single"/>
                <w:lang w:val="fr-FR"/>
              </w:rPr>
              <w:t> </w:t>
            </w:r>
            <w:r w:rsidR="008B2BBF">
              <w:rPr>
                <w:rFonts w:cs="Tahoma"/>
                <w:noProof/>
                <w:sz w:val="24"/>
                <w:szCs w:val="24"/>
                <w:u w:val="single"/>
                <w:lang w:val="fr-FR"/>
              </w:rPr>
              <w:t> </w:t>
            </w:r>
            <w:r w:rsidR="008B2BBF">
              <w:rPr>
                <w:rFonts w:cs="Tahoma"/>
                <w:noProof/>
                <w:sz w:val="24"/>
                <w:szCs w:val="24"/>
                <w:u w:val="single"/>
                <w:lang w:val="fr-FR"/>
              </w:rPr>
              <w:t> </w:t>
            </w:r>
            <w:r w:rsidR="008B2BBF">
              <w:rPr>
                <w:rFonts w:cs="Tahoma"/>
                <w:noProof/>
                <w:sz w:val="24"/>
                <w:szCs w:val="24"/>
                <w:u w:val="single"/>
                <w:lang w:val="fr-FR"/>
              </w:rPr>
              <w:t> </w:t>
            </w:r>
            <w:r>
              <w:fldChar w:fldCharType="end"/>
            </w:r>
            <w:r w:rsidR="0072782A" w:rsidRPr="004C6708">
              <w:rPr>
                <w:rFonts w:cs="Tahoma"/>
                <w:bCs w:val="0"/>
                <w:sz w:val="24"/>
                <w:szCs w:val="24"/>
                <w:u w:color="FFFFFF"/>
                <w:vertAlign w:val="superscript"/>
              </w:rPr>
              <w:footnoteReference w:id="3"/>
            </w:r>
            <w:r>
              <w:rPr>
                <w:rFonts w:cs="Tahoma"/>
                <w:sz w:val="24"/>
                <w:szCs w:val="24"/>
                <w:u w:val="single"/>
              </w:rPr>
              <w:t xml:space="preserve"> </w:t>
            </w:r>
          </w:p>
          <w:p w14:paraId="737D8424" w14:textId="6B8E60F5" w:rsidR="00090FA2" w:rsidRPr="00A97A7B" w:rsidRDefault="00090FA2" w:rsidP="00AE1920">
            <w:pPr>
              <w:pStyle w:val="LicenseNumber"/>
              <w:spacing w:before="120" w:after="120"/>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008B2BBF">
              <w:rPr>
                <w:rFonts w:cs="Tahoma"/>
                <w:noProof/>
                <w:sz w:val="24"/>
                <w:szCs w:val="24"/>
                <w:u w:val="single"/>
                <w:lang w:val="fr-FR"/>
              </w:rPr>
              <w:t> </w:t>
            </w:r>
            <w:r w:rsidR="008B2BBF">
              <w:rPr>
                <w:rFonts w:cs="Tahoma"/>
                <w:noProof/>
                <w:sz w:val="24"/>
                <w:szCs w:val="24"/>
                <w:u w:val="single"/>
                <w:lang w:val="fr-FR"/>
              </w:rPr>
              <w:t> </w:t>
            </w:r>
            <w:r w:rsidR="008B2BBF">
              <w:rPr>
                <w:rFonts w:cs="Tahoma"/>
                <w:noProof/>
                <w:sz w:val="24"/>
                <w:szCs w:val="24"/>
                <w:u w:val="single"/>
                <w:lang w:val="fr-FR"/>
              </w:rPr>
              <w:t> </w:t>
            </w:r>
            <w:r w:rsidR="008B2BBF">
              <w:rPr>
                <w:rFonts w:cs="Tahoma"/>
                <w:noProof/>
                <w:sz w:val="24"/>
                <w:szCs w:val="24"/>
                <w:u w:val="single"/>
                <w:lang w:val="fr-FR"/>
              </w:rPr>
              <w:t> </w:t>
            </w:r>
            <w:r w:rsidR="008B2BBF">
              <w:rPr>
                <w:rFonts w:cs="Tahoma"/>
                <w:noProof/>
                <w:sz w:val="24"/>
                <w:szCs w:val="24"/>
                <w:u w:val="single"/>
                <w:lang w:val="fr-FR"/>
              </w:rPr>
              <w:t> </w:t>
            </w:r>
            <w:r>
              <w:fldChar w:fldCharType="end"/>
            </w:r>
            <w:r w:rsidR="0072782A"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CONTRATTO DI LICENZA CON L’UTENTE FINALE</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EB07D9" w:rsidR="00AD2919" w:rsidRPr="00A97A7B" w:rsidRDefault="003C2DE9" w:rsidP="00471E1A">
      <w:r>
        <w:rPr>
          <w:sz w:val="20"/>
          <w:szCs w:val="20"/>
        </w:rPr>
        <w:t xml:space="preserve">Le presenti condizioni di licenza costituiscono il contratto tra il licenziatario e </w:t>
      </w:r>
      <w:r>
        <w:rPr>
          <w:rFonts w:eastAsia="SimSun"/>
          <w:sz w:val="20"/>
          <w:szCs w:val="20"/>
        </w:rPr>
        <w:t>il licenziante dell’applicazione software o</w:t>
      </w:r>
      <w:r w:rsidR="00471E1A">
        <w:rPr>
          <w:rFonts w:eastAsia="SimSun"/>
          <w:sz w:val="20"/>
          <w:szCs w:val="20"/>
        </w:rPr>
        <w:t> </w:t>
      </w:r>
      <w:r>
        <w:rPr>
          <w:rFonts w:eastAsia="SimSun"/>
          <w:sz w:val="20"/>
          <w:szCs w:val="20"/>
        </w:rPr>
        <w:t>della famiglia di applicazioni da cui il licenziatario ha acquistato il software Microsoft (“Licenziante”)</w:t>
      </w:r>
      <w:r>
        <w:rPr>
          <w:sz w:val="20"/>
          <w:szCs w:val="20"/>
        </w:rPr>
        <w:t xml:space="preserve">. Il licenziatario dovrà leggerle con attenzione. </w:t>
      </w:r>
      <w:r>
        <w:rPr>
          <w:rFonts w:eastAsia="SimSun"/>
          <w:sz w:val="20"/>
          <w:szCs w:val="20"/>
        </w:rPr>
        <w:t>Microsoft Corporation o una delle sue consociate (collettivamente “Microsoft”) ha concesso in licenza il software al Licenziante.</w:t>
      </w:r>
    </w:p>
    <w:p w14:paraId="483504BC" w14:textId="3DCED587" w:rsidR="00AD2919" w:rsidRPr="00A97A7B" w:rsidRDefault="004B6D26" w:rsidP="00196911">
      <w:r>
        <w:rPr>
          <w:sz w:val="20"/>
          <w:szCs w:val="20"/>
        </w:rPr>
        <w:t>Le presenti condizioni si applicano al software indicato sopra e prevalgono su qualsiasi condizione elettronica eventualmente contenuta nel software. Nell’eventualità di una discrepanza tra una qualsiasi delle condizioni contenute nel software e le presenti condizioni, queste ultime avranno prevalenza. Le condizioni si applicano anche a qualsiasi servizio e</w:t>
      </w:r>
      <w:r w:rsidR="00196911">
        <w:rPr>
          <w:sz w:val="20"/>
          <w:szCs w:val="20"/>
        </w:rPr>
        <w:t> </w:t>
      </w:r>
      <w:r>
        <w:rPr>
          <w:sz w:val="20"/>
          <w:szCs w:val="20"/>
        </w:rPr>
        <w:t xml:space="preserve">aggiornamento Microsoft relativo al software, a meno che questi non siano accompagnati da condizioni specifiche. </w:t>
      </w:r>
    </w:p>
    <w:p w14:paraId="3503860D" w14:textId="77777777" w:rsidR="00AA45AF" w:rsidRPr="00A97A7B" w:rsidRDefault="00AD2919" w:rsidP="00671D4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33A6DD2" w14:textId="77777777" w:rsidR="003C2DE9" w:rsidRPr="00A97A7B" w:rsidRDefault="005F7C07" w:rsidP="004C6708">
      <w:pPr>
        <w:pStyle w:val="Heading1"/>
        <w:numPr>
          <w:ilvl w:val="0"/>
          <w:numId w:val="28"/>
        </w:numPr>
        <w:pBdr>
          <w:top w:val="single" w:sz="4" w:space="1" w:color="auto"/>
        </w:pBdr>
      </w:pPr>
      <w:r>
        <w:rPr>
          <w:sz w:val="20"/>
          <w:szCs w:val="20"/>
        </w:rPr>
        <w:t>PREMESSE.</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Il software include</w:t>
      </w:r>
    </w:p>
    <w:p w14:paraId="71E8C685" w14:textId="77777777" w:rsidR="003C2DE9" w:rsidRPr="00A97A7B" w:rsidRDefault="005F7C07" w:rsidP="00CC50E7">
      <w:pPr>
        <w:pStyle w:val="Bullet3"/>
        <w:ind w:left="1080" w:hanging="360"/>
      </w:pPr>
      <w:r>
        <w:rPr>
          <w:sz w:val="20"/>
          <w:szCs w:val="20"/>
        </w:rPr>
        <w:t>software server e</w:t>
      </w:r>
    </w:p>
    <w:p w14:paraId="0A14DDF2" w14:textId="77777777" w:rsidR="003C2DE9" w:rsidRPr="00A97A7B" w:rsidRDefault="005F7C07" w:rsidP="00CC50E7">
      <w:pPr>
        <w:pStyle w:val="Bullet3"/>
        <w:ind w:left="1080" w:hanging="360"/>
      </w:pPr>
      <w:r>
        <w:rPr>
          <w:sz w:val="20"/>
          <w:szCs w:val="20"/>
        </w:rPr>
        <w:t>software aggiuntivo che potrà essere utilizzato solo con il software server.</w:t>
      </w:r>
    </w:p>
    <w:p w14:paraId="5D9349AE" w14:textId="77777777" w:rsidR="003C2DE9" w:rsidRPr="00A97A7B" w:rsidRDefault="005F7C07" w:rsidP="004B34DD">
      <w:pPr>
        <w:pStyle w:val="Heading2"/>
        <w:tabs>
          <w:tab w:val="clear" w:pos="993"/>
        </w:tabs>
        <w:ind w:left="720" w:hanging="360"/>
      </w:pPr>
      <w:r>
        <w:rPr>
          <w:sz w:val="20"/>
          <w:szCs w:val="20"/>
        </w:rPr>
        <w:t xml:space="preserve">Modello di Licenza. </w:t>
      </w:r>
      <w:r>
        <w:rPr>
          <w:b w:val="0"/>
          <w:sz w:val="20"/>
          <w:szCs w:val="20"/>
        </w:rPr>
        <w:t>Il software viene concesso in licenza sulla base delle seguenti condizioni:</w:t>
      </w:r>
    </w:p>
    <w:p w14:paraId="767E7DF6" w14:textId="77777777" w:rsidR="00E346DC" w:rsidRPr="00A97A7B" w:rsidRDefault="005F7C07" w:rsidP="00CC50E7">
      <w:pPr>
        <w:pStyle w:val="Bullet3"/>
        <w:ind w:left="1080" w:hanging="360"/>
      </w:pPr>
      <w:r>
        <w:rPr>
          <w:sz w:val="20"/>
          <w:szCs w:val="20"/>
        </w:rPr>
        <w:t xml:space="preserve">il numero di istanze del software server eseguite dal licenziatario e </w:t>
      </w:r>
    </w:p>
    <w:p w14:paraId="6DB339D4" w14:textId="77777777" w:rsidR="006A4C79" w:rsidRPr="00A97A7B" w:rsidRDefault="005F7C07" w:rsidP="00CC50E7">
      <w:pPr>
        <w:pStyle w:val="Bullet3"/>
        <w:ind w:left="1080" w:hanging="360"/>
      </w:pPr>
      <w:r>
        <w:rPr>
          <w:sz w:val="20"/>
          <w:szCs w:val="20"/>
        </w:rPr>
        <w:t>il numero di dispositivi e di utenti che accedono a istanze del software server.</w:t>
      </w:r>
    </w:p>
    <w:p w14:paraId="0FBE76C6" w14:textId="7C5D6E78" w:rsidR="00B67FDB" w:rsidRPr="00A97A7B" w:rsidRDefault="005F7C07" w:rsidP="00CC50E7">
      <w:pPr>
        <w:pStyle w:val="Heading2"/>
        <w:tabs>
          <w:tab w:val="clear" w:pos="993"/>
          <w:tab w:val="num" w:pos="720"/>
        </w:tabs>
        <w:ind w:left="720" w:hanging="360"/>
      </w:pPr>
      <w:r>
        <w:rPr>
          <w:sz w:val="20"/>
          <w:szCs w:val="20"/>
        </w:rPr>
        <w:t>Condizioni di Licenza per l’Utilizzo con le Tecnologie di Virtualizzazione.</w:t>
      </w:r>
    </w:p>
    <w:p w14:paraId="18DF4E0B" w14:textId="31D26689" w:rsidR="00B67FDB" w:rsidRPr="00A97A7B" w:rsidRDefault="005F7C07" w:rsidP="00917A13">
      <w:pPr>
        <w:pStyle w:val="Heading3Bold"/>
        <w:numPr>
          <w:ilvl w:val="2"/>
          <w:numId w:val="14"/>
        </w:numPr>
        <w:tabs>
          <w:tab w:val="clear" w:pos="1077"/>
          <w:tab w:val="num" w:pos="1080"/>
        </w:tabs>
        <w:ind w:left="1080" w:hanging="360"/>
      </w:pPr>
      <w:r>
        <w:rPr>
          <w:sz w:val="20"/>
          <w:szCs w:val="20"/>
        </w:rPr>
        <w:t>Istanza</w:t>
      </w:r>
      <w:r>
        <w:rPr>
          <w:bCs w:val="0"/>
          <w:sz w:val="20"/>
          <w:szCs w:val="20"/>
        </w:rPr>
        <w:t>.</w:t>
      </w:r>
      <w:r>
        <w:rPr>
          <w:b w:val="0"/>
          <w:bCs w:val="0"/>
          <w:sz w:val="20"/>
          <w:szCs w:val="20"/>
        </w:rPr>
        <w:t xml:space="preserve"> Il licenziatario crea un’“istanza” di software eseguendo la procedura di configurazione o</w:t>
      </w:r>
      <w:r w:rsidR="00931764">
        <w:rPr>
          <w:b w:val="0"/>
          <w:bCs w:val="0"/>
          <w:sz w:val="20"/>
          <w:szCs w:val="20"/>
        </w:rPr>
        <w:t> </w:t>
      </w:r>
      <w:r>
        <w:rPr>
          <w:b w:val="0"/>
          <w:bCs w:val="0"/>
          <w:sz w:val="20"/>
          <w:szCs w:val="20"/>
        </w:rPr>
        <w:t>installazione del software oppure duplicando un’istanza esistente. I riferimenti al software nel presente</w:t>
      </w:r>
      <w:r w:rsidR="00917A13">
        <w:rPr>
          <w:b w:val="0"/>
          <w:bCs w:val="0"/>
          <w:sz w:val="20"/>
          <w:szCs w:val="20"/>
        </w:rPr>
        <w:t> </w:t>
      </w:r>
      <w:r>
        <w:rPr>
          <w:b w:val="0"/>
          <w:bCs w:val="0"/>
          <w:sz w:val="20"/>
          <w:szCs w:val="20"/>
        </w:rPr>
        <w:t>contratto includono “istanze” del software.</w:t>
      </w:r>
    </w:p>
    <w:p w14:paraId="49C1B3BE"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Esecuzione di un’Istanza</w:t>
      </w:r>
      <w:r>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Ambiente del Sistema Operativo (“OSE”)</w:t>
      </w:r>
      <w:r>
        <w:rPr>
          <w:bCs w:val="0"/>
          <w:sz w:val="20"/>
          <w:szCs w:val="20"/>
        </w:rPr>
        <w:t>.</w:t>
      </w:r>
      <w:r>
        <w:rPr>
          <w:b w:val="0"/>
          <w:bCs w:val="0"/>
          <w:sz w:val="20"/>
          <w:szCs w:val="20"/>
        </w:rPr>
        <w:t xml:space="preserve"> Un OSE </w:t>
      </w:r>
    </w:p>
    <w:p w14:paraId="13683BA6" w14:textId="3E35ECC7" w:rsidR="00B67FDB" w:rsidRPr="00A97A7B" w:rsidRDefault="00266528" w:rsidP="00CC50E7">
      <w:pPr>
        <w:pStyle w:val="Bullet4"/>
        <w:tabs>
          <w:tab w:val="clear" w:pos="1437"/>
          <w:tab w:val="num" w:pos="1440"/>
        </w:tabs>
        <w:ind w:left="1440" w:hanging="360"/>
      </w:pPr>
      <w:r>
        <w:rPr>
          <w:sz w:val="20"/>
          <w:szCs w:val="20"/>
        </w:rPr>
        <w:lastRenderedPageBreak/>
        <w:t>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w:t>
      </w:r>
    </w:p>
    <w:p w14:paraId="20C50C86" w14:textId="77777777" w:rsidR="00B67FDB" w:rsidRPr="00A97A7B" w:rsidRDefault="00266528" w:rsidP="00CC50E7">
      <w:pPr>
        <w:pStyle w:val="Bullet4"/>
        <w:tabs>
          <w:tab w:val="clear" w:pos="1437"/>
          <w:tab w:val="num" w:pos="1440"/>
        </w:tabs>
        <w:ind w:left="1440" w:hanging="360"/>
      </w:pPr>
      <w:r>
        <w:rPr>
          <w:sz w:val="20"/>
          <w:szCs w:val="20"/>
        </w:rPr>
        <w:t>istanze di eventuali applicazioni, configurate per essere eseguite sulle istanze complete o parziali del sistema operativo identificate sopra.</w:t>
      </w:r>
    </w:p>
    <w:p w14:paraId="427E3384" w14:textId="77777777" w:rsidR="00A30398" w:rsidRPr="00A97A7B" w:rsidRDefault="005F7C07" w:rsidP="00CC50E7">
      <w:pPr>
        <w:pStyle w:val="Body3"/>
        <w:tabs>
          <w:tab w:val="num" w:pos="1440"/>
        </w:tabs>
        <w:ind w:left="1440" w:hanging="360"/>
      </w:pPr>
      <w:r>
        <w:rPr>
          <w:sz w:val="20"/>
          <w:szCs w:val="20"/>
        </w:rPr>
        <w:t>Esistono due tipi di OSE, fisico e virtuale.</w:t>
      </w:r>
    </w:p>
    <w:p w14:paraId="7E8B29B0" w14:textId="77777777" w:rsidR="00B776DC" w:rsidRPr="00A97A7B" w:rsidRDefault="005F7C07" w:rsidP="008874DA">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tecnologie di virtualizzazione Microsoft), è considerata parte dell’OSE fisico.</w:t>
      </w:r>
    </w:p>
    <w:p w14:paraId="3BCB43DE" w14:textId="77777777" w:rsidR="00B776DC" w:rsidRPr="00A97A7B" w:rsidRDefault="005F7C07" w:rsidP="008874DA">
      <w:pPr>
        <w:pStyle w:val="Body3"/>
        <w:tabs>
          <w:tab w:val="num" w:pos="1440"/>
        </w:tabs>
        <w:ind w:left="1080"/>
      </w:pPr>
      <w:r>
        <w:rPr>
          <w:sz w:val="20"/>
          <w:szCs w:val="20"/>
        </w:rPr>
        <w:t>Un “</w:t>
      </w:r>
      <w:r>
        <w:rPr>
          <w:iCs/>
          <w:sz w:val="20"/>
          <w:szCs w:val="20"/>
        </w:rPr>
        <w:t xml:space="preserve">OSE virtuale” </w:t>
      </w:r>
      <w:r>
        <w:rPr>
          <w:sz w:val="20"/>
          <w:szCs w:val="20"/>
        </w:rPr>
        <w:t>è configurato per l’esecuzione in un sistema hardware virtuale.</w:t>
      </w:r>
    </w:p>
    <w:p w14:paraId="7FF76A18" w14:textId="77777777" w:rsidR="00B67FDB" w:rsidRPr="00A97A7B" w:rsidRDefault="005F7C07" w:rsidP="00CC50E7">
      <w:pPr>
        <w:pStyle w:val="Body3"/>
        <w:tabs>
          <w:tab w:val="num" w:pos="1440"/>
        </w:tabs>
        <w:ind w:left="1440" w:hanging="360"/>
      </w:pPr>
      <w:r>
        <w:rPr>
          <w:sz w:val="20"/>
          <w:szCs w:val="20"/>
        </w:rPr>
        <w:t>Un sistema hardware fisico può avere uno o entrambi i seguenti elementi:</w:t>
      </w:r>
    </w:p>
    <w:p w14:paraId="51AE21BD" w14:textId="77777777" w:rsidR="00B67FDB" w:rsidRPr="00A97A7B" w:rsidRDefault="005F7C07" w:rsidP="00CC50E7">
      <w:pPr>
        <w:pStyle w:val="Bullet4"/>
        <w:tabs>
          <w:tab w:val="clear" w:pos="1437"/>
          <w:tab w:val="num" w:pos="1440"/>
        </w:tabs>
        <w:ind w:left="1440" w:hanging="360"/>
      </w:pPr>
      <w:r>
        <w:rPr>
          <w:sz w:val="20"/>
          <w:szCs w:val="20"/>
        </w:rPr>
        <w:t>un ambiente fisico del sistema operativo e</w:t>
      </w:r>
    </w:p>
    <w:p w14:paraId="205135CA" w14:textId="77777777" w:rsidR="00B67FDB" w:rsidRPr="00A97A7B" w:rsidRDefault="005F7C07" w:rsidP="00CC50E7">
      <w:pPr>
        <w:pStyle w:val="Bullet4"/>
        <w:tabs>
          <w:tab w:val="clear" w:pos="1437"/>
          <w:tab w:val="num" w:pos="1440"/>
        </w:tabs>
        <w:ind w:left="1440" w:hanging="360"/>
      </w:pPr>
      <w:r>
        <w:rPr>
          <w:sz w:val="20"/>
          <w:szCs w:val="20"/>
        </w:rPr>
        <w:t>uno o più ambienti virtuali del sistema operativo.</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Una partizione hardware o un blade è considerato un sistema hardware fisico separato.</w:t>
      </w:r>
    </w:p>
    <w:p w14:paraId="3CCD7871" w14:textId="6C526809" w:rsidR="00B67FDB" w:rsidRPr="00A97A7B" w:rsidRDefault="005F7C07" w:rsidP="00C260F3">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w:t>
      </w:r>
      <w:r w:rsidR="00C260F3">
        <w:rPr>
          <w:b w:val="0"/>
          <w:bCs w:val="0"/>
          <w:sz w:val="20"/>
          <w:szCs w:val="20"/>
        </w:rPr>
        <w:t> </w:t>
      </w:r>
      <w:r>
        <w:rPr>
          <w:b w:val="0"/>
          <w:bCs w:val="0"/>
          <w:sz w:val="20"/>
          <w:szCs w:val="20"/>
        </w:rPr>
        <w:t>utente.</w:t>
      </w:r>
    </w:p>
    <w:p w14:paraId="31926C5B" w14:textId="77777777" w:rsidR="003C2DE9" w:rsidRPr="00A97A7B" w:rsidRDefault="005F7C07" w:rsidP="004C6708">
      <w:pPr>
        <w:pStyle w:val="Heading1"/>
        <w:ind w:left="360" w:hanging="360"/>
      </w:pPr>
      <w:r>
        <w:rPr>
          <w:sz w:val="20"/>
          <w:szCs w:val="20"/>
        </w:rPr>
        <w:t>DIRITTI SULL’UTILIZZO.</w:t>
      </w:r>
    </w:p>
    <w:p w14:paraId="5953A8B6" w14:textId="77777777" w:rsidR="003C2DE9" w:rsidRPr="00A97A7B" w:rsidRDefault="000D3B46" w:rsidP="00CC50E7">
      <w:pPr>
        <w:pStyle w:val="Heading2"/>
        <w:tabs>
          <w:tab w:val="clear" w:pos="993"/>
          <w:tab w:val="num" w:pos="720"/>
        </w:tabs>
        <w:ind w:left="720" w:hanging="360"/>
      </w:pPr>
      <w:r>
        <w:rPr>
          <w:sz w:val="20"/>
          <w:szCs w:val="20"/>
        </w:rPr>
        <w:t>Server con Licenza.</w:t>
      </w:r>
    </w:p>
    <w:p w14:paraId="797C3D28" w14:textId="77777777" w:rsidR="0014406D" w:rsidRPr="00A97A7B" w:rsidRDefault="000D3B46" w:rsidP="00CC50E7">
      <w:pPr>
        <w:pStyle w:val="Heading3"/>
        <w:tabs>
          <w:tab w:val="num" w:pos="1077"/>
        </w:tabs>
      </w:pPr>
      <w:r>
        <w:rPr>
          <w:sz w:val="20"/>
          <w:szCs w:val="20"/>
        </w:rPr>
        <w:t>Server con licenza indica il singolo server al quale è stata ceduta una licenza.</w:t>
      </w:r>
    </w:p>
    <w:p w14:paraId="2E432F14" w14:textId="21F2F232" w:rsidR="003C2DE9" w:rsidRPr="00A97A7B" w:rsidRDefault="005F7C07" w:rsidP="00F53CEA">
      <w:pPr>
        <w:pStyle w:val="Heading3"/>
        <w:tabs>
          <w:tab w:val="num" w:pos="1077"/>
        </w:tabs>
      </w:pPr>
      <w:r>
        <w:rPr>
          <w:sz w:val="20"/>
          <w:szCs w:val="20"/>
        </w:rPr>
        <w:t>Il licenziatario potrà riassegnare una licenza software server, ma non entro 90 giorni dall’ultima cessione. Il</w:t>
      </w:r>
      <w:r w:rsidR="00F53CEA">
        <w:rPr>
          <w:sz w:val="20"/>
          <w:szCs w:val="20"/>
        </w:rPr>
        <w:t> </w:t>
      </w:r>
      <w:r>
        <w:rPr>
          <w:sz w:val="20"/>
          <w:szCs w:val="20"/>
        </w:rPr>
        <w:t>licenziatario potrà riassegnare una licenza server prima di tale periodo qualora ritiri il server con licenza a</w:t>
      </w:r>
      <w:r w:rsidR="00F53CEA">
        <w:rPr>
          <w:sz w:val="20"/>
          <w:szCs w:val="20"/>
        </w:rPr>
        <w:t> </w:t>
      </w:r>
      <w:r>
        <w:rPr>
          <w:sz w:val="20"/>
          <w:szCs w:val="20"/>
        </w:rPr>
        <w:t>causa di un problema hardware permanente. Qualora il licenziatario riassegni una licenza, dovrà rimuovere il software dal server precedente. Il server, al quale la licenza viene riassegnata, diventa il nuovo server con licenza per quella licenza.</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Esecuzione di Istanze del Software Server. </w:t>
      </w:r>
      <w:r>
        <w:rPr>
          <w:b w:val="0"/>
          <w:bCs w:val="0"/>
          <w:sz w:val="20"/>
          <w:szCs w:val="20"/>
        </w:rPr>
        <w:t>Per ogni licenza server, il licenziatario potrà utilizzare in qualsiasi momento un’istanza del software server sul server con licenza in un ambiente fisico o virtuale del sistema operativo sul server con licenza.</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5F90008" w14:textId="4AEC0BD9" w:rsidR="005912D8" w:rsidRPr="00A97A7B" w:rsidRDefault="004C3C15" w:rsidP="00356513">
      <w:pPr>
        <w:pStyle w:val="Bullet3"/>
        <w:numPr>
          <w:ilvl w:val="0"/>
          <w:numId w:val="23"/>
        </w:numPr>
      </w:pPr>
      <w:r>
        <w:rPr>
          <w:sz w:val="20"/>
          <w:szCs w:val="20"/>
        </w:rPr>
        <w:t>Servizi di Compilazione di Azure DevOps</w:t>
      </w:r>
    </w:p>
    <w:p w14:paraId="7E444266" w14:textId="77777777" w:rsidR="00D769E6" w:rsidRPr="00A97A7B" w:rsidRDefault="005F7C07" w:rsidP="00057836">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Il licenziatario potrà effettuare tali operazioni esclusivamente per esercitare il proprio diritto di eseguire istanze del software ai sensi di una qualsiasi delle sue licenze software come descritto nei diritti sull’utilizzo applicabili (ad esempio, non potrà distribuire istanze a terzi).</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5</w:t>
      </w:r>
      <w:r>
        <w:rPr>
          <w:b w:val="0"/>
          <w:bCs w:val="0"/>
          <w:sz w:val="20"/>
          <w:szCs w:val="20"/>
        </w:rPr>
        <w:t>, che sono disciplinate da condizioni di licenza specifiche.</w:t>
      </w:r>
    </w:p>
    <w:p w14:paraId="6C5A1A2C" w14:textId="05E894B3" w:rsidR="0082164C" w:rsidRPr="00A97A7B" w:rsidRDefault="0082164C" w:rsidP="00F53CEA">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w:t>
      </w:r>
      <w:r w:rsidR="00F53CEA">
        <w:rPr>
          <w:b w:val="0"/>
          <w:sz w:val="20"/>
          <w:szCs w:val="20"/>
        </w:rPr>
        <w:t> </w:t>
      </w:r>
      <w:r>
        <w:rPr>
          <w:b w:val="0"/>
          <w:sz w:val="20"/>
          <w:szCs w:val="20"/>
        </w:rPr>
        <w:t xml:space="preserve">che sono disciplinati da altri contratti, come indicato nel file o nei file ThirdPartyNotices relativi al software. </w:t>
      </w:r>
    </w:p>
    <w:p w14:paraId="53E9F0D7" w14:textId="77777777" w:rsidR="003C2DE9" w:rsidRPr="00A97A7B" w:rsidRDefault="005F7C07" w:rsidP="004C6708">
      <w:pPr>
        <w:pStyle w:val="Heading1"/>
        <w:ind w:left="360" w:hanging="360"/>
      </w:pPr>
      <w:r>
        <w:rPr>
          <w:sz w:val="20"/>
          <w:szCs w:val="20"/>
        </w:rPr>
        <w:t>REQUISITI AGGIUNTIVI PER LE LICENZE E/O DIRITTI SULL’UTILIZZO.</w:t>
      </w:r>
    </w:p>
    <w:p w14:paraId="50C95726" w14:textId="77777777" w:rsidR="003C2DE9" w:rsidRPr="00A97A7B" w:rsidRDefault="005F7C07" w:rsidP="004C6708">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ciascuna CAL a un utente o a un dispositivo</w:t>
      </w:r>
      <w:r>
        <w:rPr>
          <w:b w:val="0"/>
          <w:bCs w:val="0"/>
          <w:sz w:val="20"/>
          <w:szCs w:val="20"/>
        </w:rPr>
        <w:t>. Le CAL non sono necessarie:</w:t>
      </w:r>
    </w:p>
    <w:p w14:paraId="57212DFC" w14:textId="77777777" w:rsidR="003C2DE9" w:rsidRPr="00A97A7B" w:rsidRDefault="007C46AC" w:rsidP="005D143E">
      <w:pPr>
        <w:pStyle w:val="Bullet4"/>
        <w:tabs>
          <w:tab w:val="clear" w:pos="1437"/>
          <w:tab w:val="num" w:pos="1080"/>
        </w:tabs>
        <w:spacing w:before="100" w:after="100"/>
        <w:ind w:left="1080" w:hanging="360"/>
      </w:pPr>
      <w:r>
        <w:rPr>
          <w:sz w:val="20"/>
          <w:szCs w:val="20"/>
        </w:rPr>
        <w:lastRenderedPageBreak/>
        <w:t>per consentire l’accesso a un altro Server con Licenza né</w:t>
      </w:r>
    </w:p>
    <w:p w14:paraId="2EEE0CF1" w14:textId="78C11C5D" w:rsidR="00BA4FCD" w:rsidRPr="00A97A7B" w:rsidRDefault="005F7C07" w:rsidP="005D143E">
      <w:pPr>
        <w:pStyle w:val="Bullet4"/>
        <w:tabs>
          <w:tab w:val="clear" w:pos="1437"/>
          <w:tab w:val="num" w:pos="1080"/>
        </w:tabs>
        <w:spacing w:before="100" w:after="100"/>
        <w:ind w:left="1080" w:hanging="360"/>
      </w:pPr>
      <w:r>
        <w:rPr>
          <w:sz w:val="20"/>
          <w:szCs w:val="20"/>
        </w:rPr>
        <w:t>per consentire la gestione del software a un massimo di due dispositivi o utenti.</w:t>
      </w:r>
    </w:p>
    <w:p w14:paraId="7D733EB5" w14:textId="530ADD3C" w:rsidR="008B728C" w:rsidRPr="00A97A7B" w:rsidRDefault="005F7C07" w:rsidP="005D143E">
      <w:pPr>
        <w:pStyle w:val="Bullet4"/>
        <w:numPr>
          <w:ilvl w:val="0"/>
          <w:numId w:val="0"/>
        </w:numPr>
        <w:spacing w:before="100" w:after="100"/>
        <w:ind w:left="720"/>
      </w:pPr>
      <w:r>
        <w:rPr>
          <w:sz w:val="20"/>
          <w:szCs w:val="20"/>
        </w:rPr>
        <w:t>Le CAL consentono l’accesso alla versione corrispondente (incluse le versioni precedenti usate ai sensi dei diritti di</w:t>
      </w:r>
      <w:r w:rsidR="006068DE">
        <w:rPr>
          <w:sz w:val="20"/>
          <w:szCs w:val="20"/>
        </w:rPr>
        <w:t> </w:t>
      </w:r>
      <w:r>
        <w:rPr>
          <w:sz w:val="20"/>
          <w:szCs w:val="20"/>
        </w:rPr>
        <w:t>downgrade) o a versioni precedenti del software server. Nel caso in cui il licenziatario acceda a istanze di una versione precedente, potrà utilizzare le CAL corrispondenti a quella versione.</w:t>
      </w:r>
    </w:p>
    <w:p w14:paraId="493998B2" w14:textId="77777777" w:rsidR="003C2DE9" w:rsidRPr="00A97A7B" w:rsidRDefault="00BB4843" w:rsidP="005D143E">
      <w:pPr>
        <w:pStyle w:val="Bullet4"/>
        <w:numPr>
          <w:ilvl w:val="0"/>
          <w:numId w:val="0"/>
        </w:numPr>
        <w:spacing w:before="100" w:after="100"/>
        <w:ind w:left="720"/>
      </w:pPr>
      <w:r>
        <w:rPr>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14:paraId="41A3B0B7" w14:textId="77777777" w:rsidR="00D40637" w:rsidRPr="00A97A7B" w:rsidRDefault="00D40637" w:rsidP="005D143E">
      <w:pPr>
        <w:pStyle w:val="Heading2"/>
        <w:tabs>
          <w:tab w:val="clear" w:pos="993"/>
          <w:tab w:val="num" w:pos="720"/>
        </w:tabs>
        <w:spacing w:before="100" w:after="100"/>
        <w:ind w:left="720" w:hanging="360"/>
      </w:pPr>
      <w:r>
        <w:rPr>
          <w:sz w:val="20"/>
          <w:szCs w:val="20"/>
        </w:rPr>
        <w:t xml:space="preserve">Utenti Iniziali. </w:t>
      </w:r>
      <w:r>
        <w:rPr>
          <w:b w:val="0"/>
          <w:sz w:val="20"/>
          <w:szCs w:val="20"/>
        </w:rPr>
        <w:t>Fino a cinque utenti potranno connettersi a un’istanza del software server senza che sia necessaria una CAL. Il sesto e gli altri utenti aggiuntivi dovranno disporre ciascuno di una CAL per accedere al software server.</w:t>
      </w:r>
    </w:p>
    <w:p w14:paraId="27AD4147" w14:textId="77777777" w:rsidR="0093564D" w:rsidRPr="00A97A7B" w:rsidRDefault="0002605D" w:rsidP="005D143E">
      <w:pPr>
        <w:pStyle w:val="Heading2"/>
        <w:tabs>
          <w:tab w:val="clear" w:pos="993"/>
          <w:tab w:val="num" w:pos="720"/>
        </w:tabs>
        <w:spacing w:before="100" w:after="100"/>
        <w:ind w:left="720" w:hanging="360"/>
      </w:pPr>
      <w:r>
        <w:rPr>
          <w:sz w:val="20"/>
          <w:szCs w:val="20"/>
        </w:rPr>
        <w:t xml:space="preserve">Utilizzo Ammesso senza Licenza CAL. </w:t>
      </w:r>
      <w:r>
        <w:rPr>
          <w:b w:val="0"/>
          <w:sz w:val="20"/>
          <w:szCs w:val="20"/>
        </w:rPr>
        <w:t>Non è necessaria alcuna CAL:</w:t>
      </w:r>
    </w:p>
    <w:p w14:paraId="3CAE16D0" w14:textId="77777777" w:rsidR="0093564D" w:rsidRPr="00A97A7B" w:rsidRDefault="00317891" w:rsidP="005D143E">
      <w:pPr>
        <w:pStyle w:val="Bullet4"/>
        <w:tabs>
          <w:tab w:val="clear" w:pos="1437"/>
          <w:tab w:val="num" w:pos="1080"/>
        </w:tabs>
        <w:spacing w:before="100" w:after="100"/>
        <w:ind w:left="1080" w:hanging="360"/>
      </w:pPr>
      <w:r>
        <w:rPr>
          <w:sz w:val="20"/>
          <w:szCs w:val="20"/>
        </w:rPr>
        <w:t>per visualizzare, modificare o inserire elementi di lavoro;</w:t>
      </w:r>
    </w:p>
    <w:p w14:paraId="7DADF11E" w14:textId="5ABC0B81" w:rsidR="00317891" w:rsidRPr="00A97A7B" w:rsidRDefault="00317891" w:rsidP="005D143E">
      <w:pPr>
        <w:pStyle w:val="Bullet4"/>
        <w:tabs>
          <w:tab w:val="clear" w:pos="1437"/>
          <w:tab w:val="num" w:pos="1080"/>
        </w:tabs>
        <w:spacing w:before="100" w:after="100"/>
        <w:ind w:left="1080" w:hanging="360"/>
      </w:pPr>
      <w:r>
        <w:rPr>
          <w:sz w:val="20"/>
          <w:szCs w:val="20"/>
        </w:rPr>
        <w:t>per accedere a Creazione di Report di Azure DevOps Server;</w:t>
      </w:r>
    </w:p>
    <w:p w14:paraId="1507F7A6" w14:textId="140DD8C6" w:rsidR="0093564D" w:rsidRPr="00A97A7B" w:rsidRDefault="0093564D" w:rsidP="005D143E">
      <w:pPr>
        <w:pStyle w:val="Bullet4"/>
        <w:tabs>
          <w:tab w:val="clear" w:pos="1437"/>
          <w:tab w:val="num" w:pos="1080"/>
        </w:tabs>
        <w:spacing w:before="100" w:after="100"/>
        <w:ind w:left="1080" w:hanging="360"/>
      </w:pPr>
      <w:r>
        <w:rPr>
          <w:sz w:val="20"/>
          <w:szCs w:val="20"/>
        </w:rPr>
        <w:t>per accedere a Servizi Azure DevOps tramite un Proxy Azure DevOps Server;</w:t>
      </w:r>
    </w:p>
    <w:p w14:paraId="6DB45692" w14:textId="1107D8F2" w:rsidR="00907F9A" w:rsidRPr="00A97A7B" w:rsidRDefault="00317891" w:rsidP="005D143E">
      <w:pPr>
        <w:pStyle w:val="Bullet4"/>
        <w:tabs>
          <w:tab w:val="clear" w:pos="1437"/>
          <w:tab w:val="num" w:pos="1080"/>
        </w:tabs>
        <w:spacing w:before="100" w:after="100"/>
        <w:ind w:left="1080" w:hanging="360"/>
      </w:pPr>
      <w:r>
        <w:rPr>
          <w:sz w:val="20"/>
          <w:szCs w:val="20"/>
        </w:rPr>
        <w:t>per approvare le varie fasi nell’ambito della pipeline di Gestione delle Versioni o</w:t>
      </w:r>
    </w:p>
    <w:p w14:paraId="126314B0" w14:textId="6F56E489" w:rsidR="009B7E14" w:rsidRPr="00A97A7B" w:rsidRDefault="009B7E14" w:rsidP="005D143E">
      <w:pPr>
        <w:pStyle w:val="Bullet4"/>
        <w:tabs>
          <w:tab w:val="clear" w:pos="1437"/>
          <w:tab w:val="num" w:pos="1080"/>
        </w:tabs>
        <w:spacing w:before="100" w:after="100"/>
        <w:ind w:left="1080" w:hanging="360"/>
      </w:pPr>
      <w:r>
        <w:rPr>
          <w:sz w:val="20"/>
          <w:szCs w:val="20"/>
        </w:rPr>
        <w:t>per accedere ad Azure DevOps Server tramite una connessione in pool da un’altra applicazione o servizio integrato.</w:t>
      </w:r>
    </w:p>
    <w:p w14:paraId="5EEBF8B0" w14:textId="5DDE99AA" w:rsidR="00333AA2" w:rsidRPr="00A97A7B" w:rsidRDefault="00333AA2" w:rsidP="005436C2">
      <w:pPr>
        <w:pStyle w:val="Bullet4"/>
        <w:tabs>
          <w:tab w:val="clear" w:pos="1437"/>
          <w:tab w:val="num" w:pos="1080"/>
        </w:tabs>
        <w:ind w:left="1080" w:hanging="360"/>
      </w:pPr>
      <w:r>
        <w:rPr>
          <w:sz w:val="20"/>
          <w:szCs w:val="20"/>
        </w:rPr>
        <w:t>Per gli utenti a pagamento del licenziatario nei Servizi Azure DevOps</w:t>
      </w:r>
    </w:p>
    <w:p w14:paraId="7E1D5A55" w14:textId="3C91842F" w:rsidR="005774AA" w:rsidRPr="00A97A7B" w:rsidRDefault="004C3C15" w:rsidP="00DE71BF">
      <w:pPr>
        <w:pStyle w:val="Heading2"/>
        <w:tabs>
          <w:tab w:val="clear" w:pos="993"/>
          <w:tab w:val="num" w:pos="720"/>
        </w:tabs>
        <w:ind w:left="720" w:hanging="360"/>
      </w:pPr>
      <w:r>
        <w:rPr>
          <w:sz w:val="20"/>
          <w:szCs w:val="20"/>
        </w:rPr>
        <w:t>Servizi di Compilazione di Azure DevOps Server.</w:t>
      </w:r>
      <w:r>
        <w:rPr>
          <w:b w:val="0"/>
          <w:sz w:val="20"/>
          <w:szCs w:val="20"/>
        </w:rPr>
        <w:t xml:space="preserve"> In presenza di uno o più utenti in possesso di licenza per la Sottoscrizione di Visual Studio Enterprise, la Sottoscrizione di Visual Studio Professional o per qualsiasi versione successiva delle suddette, il licenziatario potrà installare anche il software Visual Studio e consentirne l’accesso e</w:t>
      </w:r>
      <w:r w:rsidR="00DE71BF">
        <w:rPr>
          <w:b w:val="0"/>
          <w:sz w:val="20"/>
          <w:szCs w:val="20"/>
        </w:rPr>
        <w:t> </w:t>
      </w:r>
      <w:r>
        <w:rPr>
          <w:b w:val="0"/>
          <w:sz w:val="20"/>
          <w:szCs w:val="20"/>
        </w:rPr>
        <w:t>l’utilizzo nell’ambito dei Servizi di Compilazione di Azure DevOps Server da parte degli utenti e dei dispositivi con</w:t>
      </w:r>
      <w:r w:rsidR="00DE71BF">
        <w:rPr>
          <w:b w:val="0"/>
          <w:sz w:val="20"/>
          <w:szCs w:val="20"/>
        </w:rPr>
        <w:t> </w:t>
      </w:r>
      <w:r>
        <w:rPr>
          <w:b w:val="0"/>
          <w:sz w:val="20"/>
          <w:szCs w:val="20"/>
        </w:rPr>
        <w:t>licenza del software.</w:t>
      </w:r>
    </w:p>
    <w:p w14:paraId="471F6A23" w14:textId="5DAD06A4" w:rsidR="003C2DE9" w:rsidRPr="00A97A7B" w:rsidRDefault="005F7C07" w:rsidP="008C1C06">
      <w:pPr>
        <w:pStyle w:val="Heading2"/>
        <w:tabs>
          <w:tab w:val="clear" w:pos="993"/>
          <w:tab w:val="num" w:pos="720"/>
        </w:tabs>
        <w:ind w:left="720" w:hanging="360"/>
      </w:pPr>
      <w:r>
        <w:rPr>
          <w:sz w:val="20"/>
          <w:szCs w:val="20"/>
        </w:rPr>
        <w:t xml:space="preserve">Riassegnazione di CAL. </w:t>
      </w:r>
      <w:r>
        <w:rPr>
          <w:b w:val="0"/>
          <w:bCs w:val="0"/>
          <w:sz w:val="20"/>
          <w:szCs w:val="20"/>
        </w:rPr>
        <w:t>Il</w:t>
      </w:r>
      <w:r w:rsidR="008C1C06">
        <w:rPr>
          <w:b w:val="0"/>
          <w:bCs w:val="0"/>
          <w:sz w:val="20"/>
          <w:szCs w:val="20"/>
        </w:rPr>
        <w:t xml:space="preserve"> </w:t>
      </w:r>
      <w:r>
        <w:rPr>
          <w:b w:val="0"/>
          <w:bCs w:val="0"/>
          <w:sz w:val="20"/>
          <w:szCs w:val="20"/>
        </w:rPr>
        <w:t>licenziatario</w:t>
      </w:r>
      <w:r w:rsidR="008C1C06">
        <w:rPr>
          <w:b w:val="0"/>
          <w:bCs w:val="0"/>
          <w:sz w:val="20"/>
          <w:szCs w:val="20"/>
        </w:rPr>
        <w:t xml:space="preserve"> </w:t>
      </w:r>
      <w:r>
        <w:rPr>
          <w:b w:val="0"/>
          <w:bCs w:val="0"/>
          <w:sz w:val="20"/>
          <w:szCs w:val="20"/>
        </w:rPr>
        <w:t>potrà:</w:t>
      </w:r>
    </w:p>
    <w:p w14:paraId="1B3792EA" w14:textId="77777777" w:rsidR="003C2DE9" w:rsidRPr="00A97A7B" w:rsidRDefault="005F7C07" w:rsidP="00057836">
      <w:pPr>
        <w:pStyle w:val="Bullet4"/>
        <w:tabs>
          <w:tab w:val="clear" w:pos="1437"/>
          <w:tab w:val="num" w:pos="1080"/>
        </w:tabs>
        <w:ind w:left="1080" w:hanging="360"/>
      </w:pPr>
      <w:r>
        <w:rPr>
          <w:sz w:val="20"/>
          <w:szCs w:val="20"/>
        </w:rPr>
        <w:t>riassegnare definitivamente una licenza CAL per dispositivo da un dispositivo a un altro oppure una user CAL (licenza di accesso da parte dell’utente) da un utente a un altro o</w:t>
      </w:r>
    </w:p>
    <w:p w14:paraId="3E0BD873" w14:textId="77777777" w:rsidR="003C2DE9" w:rsidRPr="00A97A7B" w:rsidRDefault="005F7C07" w:rsidP="00057836">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tranne nel caso in cui ciò sia consentito in quanto riassegnazione temporanea.</w:t>
      </w:r>
    </w:p>
    <w:p w14:paraId="677B8B84" w14:textId="77777777" w:rsidR="00D53580" w:rsidRPr="00A97A7B" w:rsidRDefault="00E078FC" w:rsidP="004C6708">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14:paraId="09A43BB2" w14:textId="70872BFD" w:rsidR="00286990" w:rsidRPr="00A97A7B" w:rsidRDefault="00A862E3" w:rsidP="006A68F8">
      <w:pPr>
        <w:pStyle w:val="Bullet4"/>
        <w:tabs>
          <w:tab w:val="clear" w:pos="1437"/>
          <w:tab w:val="num" w:pos="1080"/>
        </w:tabs>
        <w:ind w:left="1080" w:hanging="360"/>
      </w:pPr>
      <w:r>
        <w:rPr>
          <w:sz w:val="20"/>
          <w:szCs w:val="20"/>
        </w:rPr>
        <w:t>Piano del Test</w:t>
      </w:r>
    </w:p>
    <w:p w14:paraId="7C92CEFD" w14:textId="77777777" w:rsidR="00A22FCC" w:rsidRPr="00A97A7B" w:rsidRDefault="00753122" w:rsidP="002F713A">
      <w:pPr>
        <w:pStyle w:val="Heading2"/>
        <w:widowControl w:val="0"/>
        <w:numPr>
          <w:ilvl w:val="0"/>
          <w:numId w:val="0"/>
        </w:numPr>
        <w:ind w:left="1080"/>
      </w:pPr>
      <w:r>
        <w:rPr>
          <w:b w:val="0"/>
          <w:sz w:val="20"/>
          <w:szCs w:val="20"/>
        </w:rPr>
        <w:t>un utente dovrà disporre la licenza per uno dei seguenti prodotti:</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Sottoscrizione di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sottoscrizione mensile,</w:t>
      </w:r>
    </w:p>
    <w:p w14:paraId="5F156342" w14:textId="6531D0F8" w:rsidR="00A22FCC" w:rsidRPr="00A97A7B" w:rsidRDefault="009617CD" w:rsidP="0019394B">
      <w:pPr>
        <w:pStyle w:val="Heading2"/>
        <w:widowControl w:val="0"/>
        <w:numPr>
          <w:ilvl w:val="0"/>
          <w:numId w:val="26"/>
        </w:numPr>
      </w:pPr>
      <w:r>
        <w:rPr>
          <w:b w:val="0"/>
          <w:sz w:val="20"/>
          <w:szCs w:val="20"/>
        </w:rPr>
        <w:t>Piattaforme MSDN</w:t>
      </w:r>
      <w:bookmarkEnd w:id="1"/>
      <w:r>
        <w:rPr>
          <w:b w:val="0"/>
          <w:sz w:val="20"/>
          <w:szCs w:val="20"/>
        </w:rPr>
        <w:t xml:space="preserve"> o</w:t>
      </w:r>
    </w:p>
    <w:p w14:paraId="528DD63C" w14:textId="1777DB76" w:rsidR="00753122" w:rsidRPr="00A97A7B" w:rsidRDefault="00764DC7" w:rsidP="004C6708">
      <w:pPr>
        <w:pStyle w:val="Heading2"/>
        <w:numPr>
          <w:ilvl w:val="0"/>
          <w:numId w:val="26"/>
        </w:numPr>
      </w:pPr>
      <w:r>
        <w:rPr>
          <w:b w:val="0"/>
          <w:sz w:val="20"/>
          <w:szCs w:val="20"/>
        </w:rPr>
        <w:t>un piano a pagamento per Azure DevOps Basic + Test Plan.</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14:paraId="494F458B" w14:textId="77777777" w:rsidR="003C2DE9" w:rsidRPr="00A97A7B" w:rsidRDefault="005F7C07" w:rsidP="00057836">
      <w:pPr>
        <w:pStyle w:val="Bullet3"/>
      </w:pPr>
      <w:r>
        <w:rPr>
          <w:sz w:val="20"/>
          <w:szCs w:val="20"/>
        </w:rPr>
        <w:lastRenderedPageBreak/>
        <w:t>raggruppare le connessioni;</w:t>
      </w:r>
    </w:p>
    <w:p w14:paraId="012BC555" w14:textId="77777777" w:rsidR="003C2DE9" w:rsidRPr="00A97A7B" w:rsidRDefault="005F7C07" w:rsidP="00057836">
      <w:pPr>
        <w:pStyle w:val="Bullet3"/>
      </w:pPr>
      <w:r>
        <w:rPr>
          <w:sz w:val="20"/>
          <w:szCs w:val="20"/>
        </w:rPr>
        <w:t>reinstradare le informazioni;</w:t>
      </w:r>
    </w:p>
    <w:p w14:paraId="073E0D92" w14:textId="77777777" w:rsidR="003C2DE9" w:rsidRPr="00A97A7B" w:rsidRDefault="005F7C07" w:rsidP="00057836">
      <w:pPr>
        <w:pStyle w:val="Bullet3"/>
      </w:pPr>
      <w:r>
        <w:rPr>
          <w:sz w:val="20"/>
          <w:szCs w:val="20"/>
        </w:rPr>
        <w:t>ridurre il numero di dispositivi o utenti che accedono o utilizzano direttamente il software oppure</w:t>
      </w:r>
    </w:p>
    <w:p w14:paraId="729B5CA6" w14:textId="765905B0" w:rsidR="00923842" w:rsidRPr="00A97A7B" w:rsidRDefault="00923842" w:rsidP="00057836">
      <w:pPr>
        <w:pStyle w:val="Bullet3"/>
      </w:pPr>
      <w:r>
        <w:rPr>
          <w:sz w:val="20"/>
          <w:szCs w:val="20"/>
        </w:rPr>
        <w:t>ridurre il numero di ambienti del sistema operativo, di dispositivi o utenti che il prodotto gestisce direttamente.</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in più di un ambiente del sistema operativo ai sensi di una licenza singola, se non espressamente consentito. Questa clausola si applica anche nel caso in cui gli ambienti del sistema operativo si trovino sullo stesso sistema hardware fisico.</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di licenza e corrispettivi.</w:t>
      </w:r>
    </w:p>
    <w:p w14:paraId="15C69F38" w14:textId="77777777" w:rsidR="005A6A5F" w:rsidRPr="00A97A7B" w:rsidRDefault="001E4979" w:rsidP="004C6708">
      <w:pPr>
        <w:pStyle w:val="Heading1"/>
        <w:ind w:left="360" w:hanging="360"/>
      </w:pPr>
      <w:r>
        <w:rPr>
          <w:sz w:val="20"/>
          <w:szCs w:val="20"/>
        </w:rPr>
        <w:t xml:space="preserve">DATI. </w:t>
      </w:r>
    </w:p>
    <w:p w14:paraId="3502164A" w14:textId="09BB1520" w:rsidR="00666209" w:rsidRPr="0072782A" w:rsidRDefault="001E4979" w:rsidP="005D143E">
      <w:pPr>
        <w:pStyle w:val="Heading2"/>
        <w:tabs>
          <w:tab w:val="clear" w:pos="993"/>
          <w:tab w:val="num" w:pos="720"/>
        </w:tabs>
        <w:spacing w:before="100" w:after="100"/>
        <w:ind w:left="720" w:hanging="360"/>
        <w:rPr>
          <w:sz w:val="20"/>
          <w:szCs w:val="20"/>
        </w:rPr>
      </w:pPr>
      <w:r w:rsidRPr="0072782A">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software. </w:t>
      </w:r>
      <w:r w:rsidRPr="0072782A">
        <w:rPr>
          <w:b w:val="0"/>
          <w:sz w:val="20"/>
          <w:szCs w:val="20"/>
        </w:rPr>
        <w:t>Esistono inoltre a</w:t>
      </w:r>
      <w:r w:rsidRPr="0072782A">
        <w:rPr>
          <w:b w:val="0"/>
          <w:color w:val="000000"/>
          <w:sz w:val="20"/>
          <w:szCs w:val="20"/>
        </w:rPr>
        <w:t>lcune funzionalità del software che possono abilitare il licenziatario e Microsoft alla raccolta dei dati degli utenti delle applicazioni del licenziatario</w:t>
      </w:r>
      <w:r w:rsidRPr="0072782A">
        <w:rPr>
          <w:rFonts w:eastAsia="SimSun"/>
          <w:b w:val="0"/>
          <w:sz w:val="20"/>
          <w:szCs w:val="20"/>
        </w:rPr>
        <w:t xml:space="preserve">. Qualora il licenziatario utilizzi tali funzionalità, dovrà conformarsi alla legge applicabile e fornire comunicazioni appropriate agli utenti delle proprie applicazioni unitamente all’Informativa sulla privacy di Microsoft. L’informativa sulla privacy di Microsoft si trova all’indirizzo </w:t>
      </w:r>
      <w:hyperlink r:id="rId8" w:history="1">
        <w:r w:rsidRPr="0072782A">
          <w:rPr>
            <w:rStyle w:val="Hyperlink"/>
            <w:rFonts w:cs="Tahoma"/>
            <w:b w:val="0"/>
            <w:sz w:val="20"/>
            <w:szCs w:val="20"/>
          </w:rPr>
          <w:t>https://go.microsoft.com/fwlink/?LinkId=398505</w:t>
        </w:r>
      </w:hyperlink>
      <w:r w:rsidRPr="0072782A">
        <w:rPr>
          <w:rFonts w:eastAsia="SimSun"/>
          <w:b w:val="0"/>
          <w:sz w:val="20"/>
          <w:szCs w:val="20"/>
        </w:rPr>
        <w:t>. Informazioni più dettagliate sulla raccolta e il trattamento dei dati sono disponibili nella documentazione del software e nell’informativa sulla privacy</w:t>
      </w:r>
      <w:r w:rsidRPr="0072782A">
        <w:rPr>
          <w:b w:val="0"/>
          <w:bCs w:val="0"/>
          <w:sz w:val="20"/>
          <w:szCs w:val="20"/>
        </w:rPr>
        <w:t xml:space="preserve">. </w:t>
      </w:r>
      <w:r w:rsidRPr="0072782A">
        <w:rPr>
          <w:rFonts w:eastAsia="SimSun"/>
          <w:b w:val="0"/>
          <w:sz w:val="20"/>
          <w:szCs w:val="20"/>
        </w:rPr>
        <w:t>L’utilizzo del software da parte del licenziatario funge da consenso a tali procedure.</w:t>
      </w:r>
    </w:p>
    <w:p w14:paraId="6C96B61D" w14:textId="65265293" w:rsidR="00153FB2" w:rsidRPr="00A97A7B" w:rsidRDefault="00153FB2" w:rsidP="005D143E">
      <w:pPr>
        <w:pStyle w:val="Heading2"/>
        <w:tabs>
          <w:tab w:val="clear" w:pos="993"/>
          <w:tab w:val="num" w:pos="720"/>
        </w:tabs>
        <w:spacing w:before="100" w:after="100"/>
        <w:ind w:left="720" w:hanging="360"/>
      </w:pPr>
      <w:r>
        <w:rPr>
          <w:sz w:val="20"/>
          <w:szCs w:val="20"/>
        </w:rPr>
        <w:t xml:space="preserve">Trattamento dei Dati Personali. </w:t>
      </w:r>
      <w:r>
        <w:rPr>
          <w:b w:val="0"/>
          <w:sz w:val="20"/>
          <w:szCs w:val="20"/>
        </w:rPr>
        <w:t xml:space="preserve">Nella misura in cui Microsoft agisca da responsabile o altro responsabile del trattamento dei dati personali in relazione al software, darà piena applicazione nei confronti di tutte le società, con decorrenza 25 maggio 2018, degli impegni riportati nelle Condizioni del Regolamento Generale dell’Unione Europea sulla Protezione dei Dati contenute nelle Condizioni per l’Utilizzo dei Servizi Online, disponibili all’indirizzo </w:t>
      </w:r>
      <w:hyperlink r:id="rId9"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5D143E">
      <w:pPr>
        <w:pStyle w:val="Heading1"/>
        <w:spacing w:before="100" w:after="100"/>
        <w:ind w:left="360" w:hanging="360"/>
      </w:pPr>
      <w:bookmarkStart w:id="2" w:name="_Ref324605389"/>
      <w:r>
        <w:rPr>
          <w:sz w:val="20"/>
          <w:szCs w:val="20"/>
        </w:rPr>
        <w:t>PRODOTTI AGGIUNTIVI MICROSOFT</w:t>
      </w:r>
      <w:bookmarkEnd w:id="2"/>
      <w:r>
        <w:rPr>
          <w:sz w:val="20"/>
          <w:szCs w:val="20"/>
        </w:rPr>
        <w:t>.</w:t>
      </w:r>
    </w:p>
    <w:p w14:paraId="138FBE8E" w14:textId="69262E2F" w:rsidR="004A0A6C" w:rsidRPr="0072782A" w:rsidRDefault="00492E25" w:rsidP="005D143E">
      <w:pPr>
        <w:pStyle w:val="Heading2"/>
        <w:tabs>
          <w:tab w:val="clear" w:pos="993"/>
          <w:tab w:val="num" w:pos="720"/>
        </w:tabs>
        <w:spacing w:before="100" w:after="100"/>
        <w:ind w:left="720" w:hanging="360"/>
        <w:rPr>
          <w:spacing w:val="-2"/>
        </w:rPr>
      </w:pPr>
      <w:r w:rsidRPr="0072782A">
        <w:rPr>
          <w:bCs w:val="0"/>
          <w:iCs/>
          <w:spacing w:val="-2"/>
          <w:sz w:val="20"/>
          <w:szCs w:val="20"/>
        </w:rPr>
        <w:t>Condizioni Di Licenza Per i Componenti Software Microsoft SQL Server.</w:t>
      </w:r>
      <w:r w:rsidRPr="0072782A">
        <w:rPr>
          <w:b w:val="0"/>
          <w:bCs w:val="0"/>
          <w:iCs/>
          <w:spacing w:val="-2"/>
          <w:sz w:val="20"/>
          <w:szCs w:val="20"/>
        </w:rPr>
        <w:t xml:space="preserve"> Nel software è inclusa una copia di Microsoft SQL Server 2017. Tale copia viene concessa in licenza al licenziatario ai sensi delle relative condizioni che si trovano nella cartella “Licenze” nella directory di installazione del software e anche nella modalità che segue.</w:t>
      </w:r>
    </w:p>
    <w:p w14:paraId="0C8E032A" w14:textId="45FF8C21" w:rsidR="007E1B9B" w:rsidRPr="00A97A7B" w:rsidRDefault="007E1B9B" w:rsidP="005D143E">
      <w:pPr>
        <w:widowControl w:val="0"/>
        <w:numPr>
          <w:ilvl w:val="0"/>
          <w:numId w:val="4"/>
        </w:numPr>
        <w:tabs>
          <w:tab w:val="clear" w:pos="1437"/>
          <w:tab w:val="num" w:pos="1080"/>
        </w:tabs>
        <w:spacing w:before="100" w:after="100"/>
        <w:ind w:left="1080" w:hanging="360"/>
      </w:pPr>
      <w:r>
        <w:rPr>
          <w:rFonts w:eastAsia="SimSun"/>
          <w:sz w:val="20"/>
          <w:szCs w:val="20"/>
        </w:rPr>
        <w:t>Il licenziatario potrà eseguire in qualunque momento un’istanza di SQL Server 2017 Standard Edition in un server per supportare il software in un ambiente fisico o virtuale del sistema operativo. Il licenziatario non dovrà disporre di CAL per SQL Server ai fini di tale uso. Il licenziatario potrà creare e memorizzare un numero qualsiasi di istanze di SQL Server 2017 Edition su qualsiasi server o supporto di memorizzazione, al solo scopo di esercitare il diritto di esecuzione di un’istanza di SQL Server 2017 Edition, secondo le modalità indicate nel presente documento.</w:t>
      </w:r>
    </w:p>
    <w:p w14:paraId="3F1C10DD" w14:textId="575F3AE4" w:rsidR="00606AF2" w:rsidRPr="00A97A7B" w:rsidRDefault="00AA3347" w:rsidP="005D143E">
      <w:pPr>
        <w:pStyle w:val="Heading2"/>
        <w:tabs>
          <w:tab w:val="clear" w:pos="993"/>
          <w:tab w:val="num" w:pos="720"/>
        </w:tabs>
        <w:spacing w:before="100" w:after="100"/>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nella</w:t>
      </w:r>
      <w:r>
        <w:rPr>
          <w:b w:val="0"/>
          <w:color w:val="002060"/>
          <w:sz w:val="20"/>
          <w:szCs w:val="20"/>
        </w:rPr>
        <w:t xml:space="preserve"> </w:t>
      </w:r>
      <w:r>
        <w:rPr>
          <w:b w:val="0"/>
          <w:sz w:val="20"/>
          <w:szCs w:val="20"/>
        </w:rPr>
        <w:t>cartella “Licenze” Microsoft fornita con il software, fatta eccezione per il fatto che, nel caso in cui le condizioni di licenza per quei componenti siano incluse anche direttamente nell’installazione associata, tali condizioni di licenza avranno prevalenza.</w:t>
      </w:r>
    </w:p>
    <w:p w14:paraId="32BFC760" w14:textId="39F95D07" w:rsidR="003C2DE9" w:rsidRPr="00A97A7B" w:rsidRDefault="005F7C07" w:rsidP="005D143E">
      <w:pPr>
        <w:pStyle w:val="Heading1"/>
        <w:spacing w:before="100" w:after="100"/>
        <w:ind w:left="360" w:hanging="360"/>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w:t>
      </w:r>
      <w:r w:rsidR="009D11C1">
        <w:rPr>
          <w:b w:val="0"/>
          <w:bCs w:val="0"/>
          <w:sz w:val="20"/>
          <w:szCs w:val="20"/>
        </w:rPr>
        <w:t> </w:t>
      </w:r>
      <w:r>
        <w:rPr>
          <w:b w:val="0"/>
          <w:bCs w:val="0"/>
          <w:sz w:val="20"/>
          <w:szCs w:val="20"/>
        </w:rPr>
        <w:t>qualsiasi limitazione tecnica presente nel software che gli consenta di utilizzarlo solo in determinati modi. Inoltre, il</w:t>
      </w:r>
      <w:r w:rsidR="009D11C1">
        <w:rPr>
          <w:b w:val="0"/>
          <w:bCs w:val="0"/>
          <w:sz w:val="20"/>
          <w:szCs w:val="20"/>
        </w:rPr>
        <w:t> </w:t>
      </w:r>
      <w:r>
        <w:rPr>
          <w:b w:val="0"/>
          <w:bCs w:val="0"/>
          <w:sz w:val="20"/>
          <w:szCs w:val="20"/>
        </w:rPr>
        <w:t>licenziatario non potrà:</w:t>
      </w:r>
    </w:p>
    <w:p w14:paraId="02508698" w14:textId="77777777" w:rsidR="003C2DE9" w:rsidRPr="00A97A7B" w:rsidRDefault="005F7C07" w:rsidP="005D143E">
      <w:pPr>
        <w:pStyle w:val="Bullet2"/>
        <w:spacing w:before="100" w:after="100"/>
        <w:ind w:hanging="360"/>
      </w:pPr>
      <w:r>
        <w:rPr>
          <w:sz w:val="20"/>
          <w:szCs w:val="20"/>
        </w:rPr>
        <w:t>aggirare le limitazioni tecniche presenti nel software;</w:t>
      </w:r>
    </w:p>
    <w:p w14:paraId="66482B17" w14:textId="77777777" w:rsidR="003C2DE9" w:rsidRPr="00A97A7B" w:rsidRDefault="005476D7" w:rsidP="005D143E">
      <w:pPr>
        <w:pStyle w:val="Bullet2"/>
        <w:spacing w:before="100" w:after="100"/>
        <w:ind w:hanging="360"/>
      </w:pPr>
      <w:r>
        <w:rPr>
          <w:sz w:val="20"/>
          <w:szCs w:val="20"/>
        </w:rPr>
        <w:lastRenderedPageBreak/>
        <w:t>decompilare o disassemblare il software, né in altro modo tentare di derivare il codice sorgente per il software, fatta eccezione e solo nella misura richiesta dalle condizioni di licenza di terzi che disciplinano l’utilizzo di alcuni componenti open source che potrebbero essere inclusi nel software;</w:t>
      </w:r>
    </w:p>
    <w:p w14:paraId="79AA0232" w14:textId="77777777" w:rsidR="00E36D36" w:rsidRPr="00A97A7B" w:rsidRDefault="00E36D36" w:rsidP="005D143E">
      <w:pPr>
        <w:pStyle w:val="Bullet2"/>
        <w:spacing w:before="100" w:after="100"/>
        <w:ind w:hanging="360"/>
      </w:pPr>
      <w:r>
        <w:rPr>
          <w:rFonts w:eastAsia="SimSun"/>
          <w:sz w:val="20"/>
          <w:szCs w:val="20"/>
        </w:rPr>
        <w:t>rimuovere, ridurre al minimo, bloccare o modificare alcuna comunicazione di Microsoft o dei suoi fornitori relativamente al software;</w:t>
      </w:r>
    </w:p>
    <w:p w14:paraId="0A233E24" w14:textId="77777777" w:rsidR="005476D7" w:rsidRPr="00A97A7B" w:rsidRDefault="005476D7" w:rsidP="005D143E">
      <w:pPr>
        <w:pStyle w:val="Bullet2"/>
        <w:spacing w:before="100" w:after="100"/>
        <w:ind w:hanging="360"/>
      </w:pPr>
      <w:r>
        <w:rPr>
          <w:sz w:val="20"/>
          <w:szCs w:val="20"/>
        </w:rPr>
        <w:t>utilizzare il software in contrasto con la legge;</w:t>
      </w:r>
    </w:p>
    <w:p w14:paraId="0D736D8F" w14:textId="77777777" w:rsidR="00BE5663" w:rsidRPr="00A97A7B" w:rsidRDefault="008C2558" w:rsidP="005D143E">
      <w:pPr>
        <w:pStyle w:val="Bullet2"/>
        <w:spacing w:before="100" w:after="100"/>
        <w:ind w:hanging="360"/>
      </w:pPr>
      <w:r>
        <w:rPr>
          <w:sz w:val="20"/>
          <w:szCs w:val="20"/>
        </w:rPr>
        <w:t xml:space="preserve">condividere, pubblicare, noleggiare, concedere in prestito il software, né </w:t>
      </w:r>
    </w:p>
    <w:p w14:paraId="051395DE" w14:textId="4A3876A4" w:rsidR="003C2DE9" w:rsidRPr="00A97A7B" w:rsidRDefault="008C2558" w:rsidP="005D143E">
      <w:pPr>
        <w:pStyle w:val="Bullet2"/>
        <w:spacing w:before="100" w:after="100"/>
        <w:ind w:hanging="360"/>
      </w:pPr>
      <w:bookmarkStart w:id="3" w:name="_Hlk6907148"/>
      <w:r>
        <w:rPr>
          <w:sz w:val="20"/>
          <w:szCs w:val="20"/>
        </w:rPr>
        <w:t>fornirlo come soluzione autonoma o insieme ad alcune delle proprie applicazioni per consentire a terzi di utilizzarlo.</w:t>
      </w:r>
    </w:p>
    <w:bookmarkEnd w:id="3"/>
    <w:p w14:paraId="5B690E42" w14:textId="3D92E46A" w:rsidR="00A15FE9" w:rsidRPr="00A97A7B" w:rsidRDefault="00A15FE9" w:rsidP="005D143E">
      <w:pPr>
        <w:pStyle w:val="Heading1"/>
        <w:widowControl w:val="0"/>
        <w:spacing w:before="100" w:after="10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w:t>
      </w:r>
      <w:r w:rsidR="00C55CBA">
        <w:rPr>
          <w:rFonts w:eastAsia="SimSun"/>
          <w:b w:val="0"/>
          <w:bCs w:val="0"/>
          <w:sz w:val="20"/>
          <w:szCs w:val="20"/>
        </w:rPr>
        <w:t> </w:t>
      </w:r>
      <w:r>
        <w:rPr>
          <w:rFonts w:eastAsia="SimSun"/>
          <w:b w:val="0"/>
          <w:bCs w:val="0"/>
          <w:sz w:val="20"/>
          <w:szCs w:val="20"/>
        </w:rPr>
        <w:t>licenziatario potrà utilizzare sono una versione alla volta.</w:t>
      </w:r>
    </w:p>
    <w:p w14:paraId="6854E50C" w14:textId="77777777" w:rsidR="003C2DE9" w:rsidRPr="00A97A7B" w:rsidRDefault="005F7C07" w:rsidP="005D143E">
      <w:pPr>
        <w:pStyle w:val="Heading1"/>
        <w:spacing w:before="100" w:after="100"/>
      </w:pPr>
      <w:r>
        <w:rPr>
          <w:sz w:val="20"/>
          <w:szCs w:val="20"/>
        </w:rPr>
        <w:t xml:space="preserve">COPIA DI BACKUP. </w:t>
      </w:r>
      <w:r>
        <w:rPr>
          <w:b w:val="0"/>
          <w:bCs w:val="0"/>
          <w:sz w:val="20"/>
          <w:szCs w:val="20"/>
        </w:rPr>
        <w:t>Il licenziatario potrà effettuare una copia di backup del software per poterlo reinstallare.</w:t>
      </w:r>
    </w:p>
    <w:p w14:paraId="12024BD4" w14:textId="77777777" w:rsidR="00D27198" w:rsidRPr="00A97A7B" w:rsidRDefault="00D27198" w:rsidP="005D143E">
      <w:pPr>
        <w:pStyle w:val="Heading1"/>
        <w:widowControl w:val="0"/>
        <w:spacing w:before="100" w:after="100"/>
      </w:pPr>
      <w:r>
        <w:rPr>
          <w:rFonts w:eastAsia="SimSun"/>
          <w:sz w:val="20"/>
          <w:szCs w:val="20"/>
        </w:rPr>
        <w:t xml:space="preserve">CAMPIONE DIMOSTRATIVO. VIETATA LA VENDITA (“Not for Resale” o “NFR”). </w:t>
      </w:r>
      <w:r>
        <w:rPr>
          <w:rFonts w:eastAsia="SimSun"/>
          <w:b w:val="0"/>
          <w:bCs w:val="0"/>
          <w:sz w:val="20"/>
          <w:szCs w:val="20"/>
        </w:rPr>
        <w:t>Il licenziatario non potrà vendere software recante l’etichetta “Campione Dimostrativo. Vietata la Vendita” (“Not for Resale” o “NFR”).</w:t>
      </w:r>
    </w:p>
    <w:p w14:paraId="7D23B551" w14:textId="3517D6B7" w:rsidR="00D27198" w:rsidRPr="00A97A7B" w:rsidRDefault="00AA5563" w:rsidP="005D143E">
      <w:pPr>
        <w:pStyle w:val="Heading1"/>
        <w:widowControl w:val="0"/>
        <w:spacing w:before="100" w:after="10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una versione in lingua diversa autorizzata o</w:t>
      </w:r>
      <w:r w:rsidR="004009B6">
        <w:rPr>
          <w:b w:val="0"/>
          <w:sz w:val="20"/>
          <w:szCs w:val="20"/>
        </w:rPr>
        <w:t> </w:t>
      </w:r>
      <w:r>
        <w:rPr>
          <w:b w:val="0"/>
          <w:sz w:val="20"/>
          <w:szCs w:val="20"/>
        </w:rPr>
        <w:t>un’edizione precedente, in luogo della versione con licenza.</w:t>
      </w:r>
    </w:p>
    <w:p w14:paraId="5DEFD232" w14:textId="77777777" w:rsidR="00A31C77" w:rsidRPr="00A97A7B" w:rsidRDefault="00A31C77" w:rsidP="005D143E">
      <w:pPr>
        <w:pStyle w:val="Heading1Unbold"/>
        <w:spacing w:before="100" w:after="100"/>
        <w:ind w:left="360" w:hanging="360"/>
      </w:pPr>
      <w:r>
        <w:rPr>
          <w:b/>
          <w:bCs/>
          <w:sz w:val="20"/>
          <w:szCs w:val="20"/>
        </w:rPr>
        <w:t xml:space="preserve">TRASFERIMENTO A TERZI. </w:t>
      </w:r>
      <w:r>
        <w:rPr>
          <w:rFonts w:eastAsia="SimSun"/>
          <w:sz w:val="20"/>
          <w:szCs w:val="20"/>
        </w:rPr>
        <w:t>Qualora il licenziatario sia in possesso di una licenza valida del software, potrà trasferire il software e il presente contratto di licenza direttamente a un’altra parte. Prima del trasferimento tale parte dovrà accettare che il presente contratto si applichi al trasferimento e all’utilizzo del software. Il trasferimento dovrà includere il software e, a seconda dei casi, l’etichetta della Prova della Licenza. Il cedente dovrà disinstallare tutte le copie del software dopo che lo avrà trasferito dal dispositivo. Il cedente potrà conservare copie del software solo qualora sia stato autorizzato in tal senso</w:t>
      </w:r>
      <w:r>
        <w:rPr>
          <w:bCs/>
          <w:sz w:val="20"/>
          <w:szCs w:val="20"/>
        </w:rPr>
        <w:t>.</w:t>
      </w:r>
    </w:p>
    <w:p w14:paraId="545FA60C" w14:textId="77777777" w:rsidR="00A31C77" w:rsidRPr="00A97A7B" w:rsidRDefault="00A31C77" w:rsidP="005D143E">
      <w:pPr>
        <w:pStyle w:val="Heading1Unbold"/>
        <w:spacing w:before="100" w:after="100"/>
        <w:ind w:left="360" w:hanging="360"/>
      </w:pPr>
      <w:r>
        <w:rPr>
          <w:b/>
          <w:bCs/>
          <w:sz w:val="20"/>
          <w:szCs w:val="20"/>
        </w:rPr>
        <w:t xml:space="preserve">RESTRIZIONI ALL’ESPORTAZIONE. </w:t>
      </w:r>
      <w:r>
        <w:rPr>
          <w:bCs/>
          <w:sz w:val="20"/>
          <w:szCs w:val="20"/>
        </w:rPr>
        <w:t>Il licenziatario dovrà conformarsi a tutte le leggi e a tutti i regolamenti nazionali</w:t>
      </w:r>
      <w:r>
        <w:rPr>
          <w:rFonts w:eastAsia="SimSun"/>
          <w:sz w:val="20"/>
          <w:szCs w:val="20"/>
        </w:rPr>
        <w:t xml:space="preserve"> e internazionali in materia di esportazione applicabili al software, che includono limitazioni relative a destinazioni, utenti finali e utilizzo finale.</w:t>
      </w:r>
    </w:p>
    <w:p w14:paraId="74720B0C" w14:textId="77777777" w:rsidR="002061BD" w:rsidRPr="00A97A7B" w:rsidRDefault="005F7C07" w:rsidP="00736BD0">
      <w:pPr>
        <w:pStyle w:val="Heading1Unbold"/>
      </w:pPr>
      <w:r>
        <w:rPr>
          <w:b/>
          <w:bCs/>
          <w:sz w:val="20"/>
          <w:szCs w:val="20"/>
        </w:rPr>
        <w:t xml:space="preserve">INTERO ACCORDO. </w:t>
      </w:r>
      <w:r>
        <w:rPr>
          <w:rFonts w:eastAsia="SimSun"/>
          <w:sz w:val="20"/>
          <w:szCs w:val="20"/>
        </w:rPr>
        <w:t>Il presente contratto e le condizioni che disciplinano i supplementi, gli aggiornamenti e i servizi basati su Internet utilizzati dal licenziatario costituiscono l’intero accordo relativo al software</w:t>
      </w:r>
      <w:r>
        <w:rPr>
          <w:bCs/>
          <w:sz w:val="20"/>
          <w:szCs w:val="20"/>
        </w:rPr>
        <w:t>.</w:t>
      </w:r>
    </w:p>
    <w:p w14:paraId="561ED2C1" w14:textId="77777777" w:rsidR="006E26BF" w:rsidRPr="00A97A7B" w:rsidRDefault="006E26BF" w:rsidP="005D143E">
      <w:pPr>
        <w:pStyle w:val="Heading1"/>
        <w:tabs>
          <w:tab w:val="clear" w:pos="360"/>
          <w:tab w:val="num" w:pos="540"/>
        </w:tabs>
        <w:spacing w:before="100" w:after="100"/>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tali altri diritti qualora le leggi del Paese di residenza del licenziatario non consentano di modificarli.</w:t>
      </w:r>
    </w:p>
    <w:p w14:paraId="778818A4" w14:textId="77777777" w:rsidR="000F756B" w:rsidRPr="00A97A7B" w:rsidRDefault="000F756B" w:rsidP="005D143E">
      <w:pPr>
        <w:pStyle w:val="Heading1"/>
        <w:spacing w:before="100" w:after="100"/>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3B264650" w14:textId="5D9B2CFD" w:rsidR="000F756B" w:rsidRPr="0018657B" w:rsidRDefault="000F756B" w:rsidP="005D143E">
      <w:pPr>
        <w:pStyle w:val="Heading1"/>
        <w:spacing w:before="100" w:after="100"/>
        <w:ind w:left="360" w:hanging="360"/>
        <w:rPr>
          <w:spacing w:val="-4"/>
        </w:rPr>
      </w:pPr>
      <w:r w:rsidRPr="0018657B">
        <w:rPr>
          <w:spacing w:val="-4"/>
          <w:sz w:val="20"/>
          <w:szCs w:val="20"/>
        </w:rPr>
        <w:t>ESCLUSIONE DI GARANZIE DA PARTE DI MICROSOFT. IL LICENZIATARIO ACCETTA CHE, QUALORA ABBIA RICEVUTO GARANZIE RELATIVE (A) AL SOFTWARE O (B) ALLE APPLICAZIONI O ALLA SUITE DI</w:t>
      </w:r>
      <w:r w:rsidR="00210B29" w:rsidRPr="0018657B">
        <w:rPr>
          <w:spacing w:val="-4"/>
          <w:sz w:val="20"/>
          <w:szCs w:val="20"/>
        </w:rPr>
        <w:t> </w:t>
      </w:r>
      <w:r w:rsidRPr="0018657B">
        <w:rPr>
          <w:spacing w:val="-4"/>
          <w:sz w:val="20"/>
          <w:szCs w:val="20"/>
        </w:rPr>
        <w:t>APPLICAZIONI SOFTWARE CON CUI HA ACQUISTATO IL SOFTWARE, TALI GARANZIE VERRANNO FORNITE ESCLUSIVAMENTE DAL LICENZIANTE E NON DERIVANO, NÉ SONO VINCOLANTI PER MICROSOFT.</w:t>
      </w:r>
    </w:p>
    <w:p w14:paraId="466432EB" w14:textId="64652290" w:rsidR="000F756B" w:rsidRPr="00A97A7B" w:rsidRDefault="000F756B" w:rsidP="005D143E">
      <w:pPr>
        <w:pStyle w:val="Heading1"/>
        <w:spacing w:before="100" w:after="100"/>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DEGLI STATI UNITI (US$ 250,00).</w:t>
      </w:r>
    </w:p>
    <w:sectPr w:rsidR="000F756B" w:rsidRPr="00A97A7B" w:rsidSect="00684670">
      <w:headerReference w:type="even" r:id="rId10"/>
      <w:headerReference w:type="default" r:id="rId11"/>
      <w:footerReference w:type="even" r:id="rId12"/>
      <w:footerReference w:type="default" r:id="rId13"/>
      <w:pgSz w:w="12240" w:h="15840" w:code="1"/>
      <w:pgMar w:top="720" w:right="720" w:bottom="63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7D57A" w14:textId="77777777" w:rsidR="00EA530C" w:rsidRDefault="00EA530C" w:rsidP="003C2DE9">
      <w:pPr>
        <w:spacing w:before="0" w:after="0"/>
      </w:pPr>
      <w:r>
        <w:separator/>
      </w:r>
    </w:p>
    <w:p w14:paraId="0AE5AA93" w14:textId="77777777" w:rsidR="00EA530C" w:rsidRDefault="00EA530C"/>
  </w:endnote>
  <w:endnote w:type="continuationSeparator" w:id="0">
    <w:p w14:paraId="13253F6E" w14:textId="77777777" w:rsidR="00EA530C" w:rsidRDefault="00EA530C" w:rsidP="003C2DE9">
      <w:pPr>
        <w:spacing w:before="0" w:after="0"/>
      </w:pPr>
      <w:r>
        <w:continuationSeparator/>
      </w:r>
    </w:p>
    <w:p w14:paraId="16FF07F3" w14:textId="77777777" w:rsidR="00EA530C" w:rsidRDefault="00EA530C"/>
  </w:endnote>
  <w:endnote w:type="continuationNotice" w:id="1">
    <w:p w14:paraId="57C4CE1E" w14:textId="77777777" w:rsidR="00EA530C" w:rsidRDefault="00EA530C">
      <w:pPr>
        <w:spacing w:before="0" w:after="0"/>
      </w:pPr>
    </w:p>
    <w:p w14:paraId="34243B67" w14:textId="77777777" w:rsidR="00EA530C" w:rsidRDefault="00EA53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50F13F8E" w:rsidR="001717C7" w:rsidRPr="0072782A" w:rsidRDefault="009407BC" w:rsidP="0072782A">
          <w:pPr>
            <w:tabs>
              <w:tab w:val="center" w:pos="4680"/>
              <w:tab w:val="right" w:pos="9360"/>
            </w:tabs>
            <w:spacing w:before="0" w:after="0"/>
            <w:rPr>
              <w:sz w:val="16"/>
              <w:szCs w:val="16"/>
              <w:lang w:val="en-US" w:eastAsia="en-US" w:bidi="ar-SA"/>
            </w:rPr>
          </w:pPr>
          <w:r w:rsidRPr="0072782A">
            <w:rPr>
              <w:sz w:val="16"/>
              <w:szCs w:val="16"/>
              <w:lang w:val="en-US" w:eastAsia="en-US" w:bidi="ar-SA"/>
            </w:rPr>
            <w:t>ISV Royalty Agreement EULA (April 1, 2019)</w:t>
          </w:r>
        </w:p>
      </w:tc>
      <w:tc>
        <w:tcPr>
          <w:tcW w:w="5220" w:type="dxa"/>
        </w:tcPr>
        <w:p w14:paraId="753B6DF0" w14:textId="77777777" w:rsidR="001717C7" w:rsidRPr="0072782A" w:rsidRDefault="001717C7" w:rsidP="0072782A">
          <w:pPr>
            <w:tabs>
              <w:tab w:val="center" w:pos="4680"/>
              <w:tab w:val="right" w:pos="9360"/>
            </w:tabs>
            <w:spacing w:before="0" w:after="0"/>
            <w:jc w:val="right"/>
            <w:rPr>
              <w:sz w:val="16"/>
              <w:szCs w:val="16"/>
              <w:lang w:val="en-US" w:eastAsia="en-US" w:bidi="ar-SA"/>
            </w:rPr>
          </w:pPr>
          <w:r w:rsidRPr="0072782A">
            <w:rPr>
              <w:sz w:val="16"/>
              <w:szCs w:val="16"/>
              <w:lang w:val="en-US" w:eastAsia="en-US" w:bidi="ar-SA"/>
            </w:rPr>
            <w:t xml:space="preserve">Page </w:t>
          </w:r>
          <w:r w:rsidRPr="0072782A">
            <w:rPr>
              <w:sz w:val="16"/>
              <w:szCs w:val="16"/>
              <w:lang w:val="en-US" w:eastAsia="en-US" w:bidi="ar-SA"/>
            </w:rPr>
            <w:fldChar w:fldCharType="begin"/>
          </w:r>
          <w:r w:rsidRPr="0072782A">
            <w:rPr>
              <w:sz w:val="16"/>
              <w:szCs w:val="16"/>
              <w:lang w:val="en-US" w:eastAsia="en-US" w:bidi="ar-SA"/>
            </w:rPr>
            <w:instrText xml:space="preserve"> PAGE </w:instrText>
          </w:r>
          <w:r w:rsidRPr="0072782A">
            <w:rPr>
              <w:sz w:val="16"/>
              <w:szCs w:val="16"/>
              <w:lang w:val="en-US" w:eastAsia="en-US" w:bidi="ar-SA"/>
            </w:rPr>
            <w:fldChar w:fldCharType="separate"/>
          </w:r>
          <w:r w:rsidR="00500392">
            <w:rPr>
              <w:noProof/>
              <w:sz w:val="16"/>
              <w:szCs w:val="16"/>
              <w:lang w:val="en-US" w:eastAsia="en-US" w:bidi="ar-SA"/>
            </w:rPr>
            <w:t>1</w:t>
          </w:r>
          <w:r w:rsidRPr="0072782A">
            <w:rPr>
              <w:sz w:val="16"/>
              <w:szCs w:val="16"/>
              <w:lang w:val="en-US" w:eastAsia="en-US" w:bidi="ar-SA"/>
            </w:rPr>
            <w:fldChar w:fldCharType="end"/>
          </w:r>
          <w:r w:rsidRPr="0072782A">
            <w:rPr>
              <w:sz w:val="16"/>
              <w:szCs w:val="16"/>
              <w:lang w:val="en-US" w:eastAsia="en-US" w:bidi="ar-SA"/>
            </w:rPr>
            <w:t xml:space="preserve"> of </w:t>
          </w:r>
          <w:r w:rsidRPr="0072782A">
            <w:rPr>
              <w:sz w:val="16"/>
              <w:szCs w:val="16"/>
              <w:lang w:val="en-US" w:eastAsia="en-US" w:bidi="ar-SA"/>
            </w:rPr>
            <w:fldChar w:fldCharType="begin"/>
          </w:r>
          <w:r w:rsidRPr="0072782A">
            <w:rPr>
              <w:sz w:val="16"/>
              <w:szCs w:val="16"/>
              <w:lang w:val="en-US" w:eastAsia="en-US" w:bidi="ar-SA"/>
            </w:rPr>
            <w:instrText xml:space="preserve"> NUMPAGES </w:instrText>
          </w:r>
          <w:r w:rsidRPr="0072782A">
            <w:rPr>
              <w:sz w:val="16"/>
              <w:szCs w:val="16"/>
              <w:lang w:val="en-US" w:eastAsia="en-US" w:bidi="ar-SA"/>
            </w:rPr>
            <w:fldChar w:fldCharType="separate"/>
          </w:r>
          <w:r w:rsidR="00500392">
            <w:rPr>
              <w:noProof/>
              <w:sz w:val="16"/>
              <w:szCs w:val="16"/>
              <w:lang w:val="en-US" w:eastAsia="en-US" w:bidi="ar-SA"/>
            </w:rPr>
            <w:t>5</w:t>
          </w:r>
          <w:r w:rsidRPr="0072782A">
            <w:rPr>
              <w:sz w:val="16"/>
              <w:szCs w:val="16"/>
              <w:lang w:val="en-US" w:eastAsia="en-US" w:bidi="ar-SA"/>
            </w:rPr>
            <w:fldChar w:fldCharType="end"/>
          </w:r>
        </w:p>
      </w:tc>
    </w:tr>
  </w:tbl>
  <w:p w14:paraId="1615E6C5" w14:textId="77777777" w:rsidR="00C778DF" w:rsidRPr="00487EF1" w:rsidRDefault="00C778DF" w:rsidP="001717C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8572B" w14:textId="77777777" w:rsidR="00EA530C" w:rsidRDefault="00EA530C" w:rsidP="003C2DE9">
      <w:pPr>
        <w:spacing w:before="0" w:after="0"/>
      </w:pPr>
      <w:r>
        <w:separator/>
      </w:r>
    </w:p>
    <w:p w14:paraId="4004DDFE" w14:textId="77777777" w:rsidR="00EA530C" w:rsidRDefault="00EA530C"/>
  </w:footnote>
  <w:footnote w:type="continuationSeparator" w:id="0">
    <w:p w14:paraId="4AC7DFE1" w14:textId="77777777" w:rsidR="00EA530C" w:rsidRDefault="00EA530C" w:rsidP="003C2DE9">
      <w:pPr>
        <w:spacing w:before="0" w:after="0"/>
      </w:pPr>
      <w:r>
        <w:continuationSeparator/>
      </w:r>
    </w:p>
    <w:p w14:paraId="70E484FD" w14:textId="77777777" w:rsidR="00EA530C" w:rsidRDefault="00EA530C"/>
  </w:footnote>
  <w:footnote w:type="continuationNotice" w:id="1">
    <w:p w14:paraId="60346FD1" w14:textId="77777777" w:rsidR="00EA530C" w:rsidRDefault="00EA530C">
      <w:pPr>
        <w:spacing w:before="0" w:after="0"/>
      </w:pPr>
    </w:p>
    <w:p w14:paraId="56B29850" w14:textId="77777777" w:rsidR="00EA530C" w:rsidRDefault="00EA530C"/>
  </w:footnote>
  <w:footnote w:id="2">
    <w:p w14:paraId="017B8B6F" w14:textId="177BC00C" w:rsidR="0072782A" w:rsidRPr="005B1156" w:rsidRDefault="0072782A" w:rsidP="0072782A">
      <w:pPr>
        <w:pStyle w:val="Footnote"/>
        <w:rPr>
          <w:b w:val="0"/>
          <w:lang w:eastAsia="en-US" w:bidi="ar-SA"/>
        </w:rPr>
      </w:pPr>
      <w:r w:rsidRPr="005B1156">
        <w:rPr>
          <w:vertAlign w:val="superscript"/>
          <w:lang w:eastAsia="en-US" w:bidi="ar-SA"/>
        </w:rPr>
        <w:t>1</w:t>
      </w:r>
      <w:r>
        <w:t xml:space="preserve"> </w:t>
      </w:r>
      <w:r w:rsidRPr="0072782A">
        <w:t xml:space="preserve">LICENZIANTE: </w:t>
      </w:r>
      <w:r w:rsidRPr="005B1156">
        <w:rPr>
          <w:b w:val="0"/>
          <w:lang w:eastAsia="en-US" w:bidi="ar-SA"/>
        </w:rPr>
        <w:t>specificare il numero complessivo di licenze server concesse all’utente finale ai sensi del presente contratto.</w:t>
      </w:r>
    </w:p>
  </w:footnote>
  <w:footnote w:id="3">
    <w:p w14:paraId="4603937C" w14:textId="7A0860C1" w:rsidR="0072782A" w:rsidRPr="005B1156" w:rsidRDefault="0072782A" w:rsidP="0072782A">
      <w:pPr>
        <w:pStyle w:val="Footnote"/>
        <w:rPr>
          <w:b w:val="0"/>
          <w:lang w:eastAsia="en-US" w:bidi="ar-SA"/>
        </w:rPr>
      </w:pPr>
      <w:r>
        <w:rPr>
          <w:vertAlign w:val="superscript"/>
        </w:rPr>
        <w:t>2</w:t>
      </w:r>
      <w:r>
        <w:t xml:space="preserve"> </w:t>
      </w:r>
      <w:r w:rsidRPr="0072782A">
        <w:t xml:space="preserve">LICENZIANTE: </w:t>
      </w:r>
      <w:r w:rsidRPr="005B1156">
        <w:rPr>
          <w:b w:val="0"/>
          <w:lang w:eastAsia="en-US" w:bidi="ar-SA"/>
        </w:rPr>
        <w:t>specificare il numero complessivo di user CAL che potranno accedere direttamente o indirettamente alle istanze del software server concesso in licenza ai sensi del presente contratto.</w:t>
      </w:r>
    </w:p>
  </w:footnote>
  <w:footnote w:id="4">
    <w:p w14:paraId="77DC2A23" w14:textId="6164E0FC" w:rsidR="0072782A" w:rsidRPr="005B1156" w:rsidRDefault="0072782A" w:rsidP="0072782A">
      <w:pPr>
        <w:pStyle w:val="Footnote"/>
        <w:rPr>
          <w:b w:val="0"/>
          <w:lang w:eastAsia="en-US" w:bidi="ar-SA"/>
        </w:rPr>
      </w:pPr>
      <w:r>
        <w:rPr>
          <w:vertAlign w:val="superscript"/>
        </w:rPr>
        <w:t xml:space="preserve">3 </w:t>
      </w:r>
      <w:r w:rsidRPr="0072782A">
        <w:t>LICENZIANTE</w:t>
      </w:r>
      <w:r w:rsidRPr="005B1156">
        <w:rPr>
          <w:lang w:eastAsia="en-US" w:bidi="ar-SA"/>
        </w:rPr>
        <w:t>:</w:t>
      </w:r>
      <w:r w:rsidRPr="005B1156">
        <w:rPr>
          <w:b w:val="0"/>
          <w:lang w:eastAsia="en-US" w:bidi="ar-SA"/>
        </w:rPr>
        <w:t xml:space="preserv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7C43" w14:textId="77777777" w:rsidR="001717C7" w:rsidRDefault="001717C7">
    <w:pPr>
      <w:pStyle w:val="Header"/>
    </w:pPr>
  </w:p>
  <w:p w14:paraId="0261CD1F" w14:textId="77777777" w:rsidR="00C778DF" w:rsidRDefault="00C778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0FEABF4A"/>
    <w:lvl w:ilvl="0" w:tplc="14B027B8">
      <w:start w:val="1"/>
      <w:numFmt w:val="bullet"/>
      <w:pStyle w:val="Bullet2"/>
      <w:lvlText w:val=""/>
      <w:lvlJc w:val="left"/>
      <w:pPr>
        <w:tabs>
          <w:tab w:val="num" w:pos="720"/>
        </w:tabs>
        <w:ind w:left="720" w:hanging="363"/>
      </w:pPr>
      <w:rPr>
        <w:rFonts w:ascii="Symbol" w:hAnsi="Symbol" w:hint="default"/>
        <w:strike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8"/>
  </w:num>
  <w:num w:numId="2">
    <w:abstractNumId w:val="4"/>
  </w:num>
  <w:num w:numId="3">
    <w:abstractNumId w:val="21"/>
  </w:num>
  <w:num w:numId="4">
    <w:abstractNumId w:val="20"/>
  </w:num>
  <w:num w:numId="5">
    <w:abstractNumId w:val="24"/>
  </w:num>
  <w:num w:numId="6">
    <w:abstractNumId w:val="25"/>
  </w:num>
  <w:num w:numId="7">
    <w:abstractNumId w:val="16"/>
  </w:num>
  <w:num w:numId="8">
    <w:abstractNumId w:val="9"/>
  </w:num>
  <w:num w:numId="9">
    <w:abstractNumId w:val="1"/>
  </w:num>
  <w:num w:numId="10">
    <w:abstractNumId w:val="2"/>
  </w:num>
  <w:num w:numId="11">
    <w:abstractNumId w:val="23"/>
  </w:num>
  <w:num w:numId="12">
    <w:abstractNumId w:val="15"/>
  </w:num>
  <w:num w:numId="13">
    <w:abstractNumId w:val="7"/>
  </w:num>
  <w:num w:numId="14">
    <w:abstractNumId w:val="3"/>
  </w:num>
  <w:num w:numId="15">
    <w:abstractNumId w:val="18"/>
  </w:num>
  <w:num w:numId="16">
    <w:abstractNumId w:val="5"/>
  </w:num>
  <w:num w:numId="17">
    <w:abstractNumId w:val="26"/>
  </w:num>
  <w:num w:numId="18">
    <w:abstractNumId w:val="11"/>
  </w:num>
  <w:num w:numId="19">
    <w:abstractNumId w:val="10"/>
  </w:num>
  <w:num w:numId="20">
    <w:abstractNumId w:val="22"/>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 w:numId="25">
    <w:abstractNumId w:val="17"/>
  </w:num>
  <w:num w:numId="26">
    <w:abstractNumId w:val="2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20"/>
  </w:num>
  <w:num w:numId="34">
    <w:abstractNumId w:val="7"/>
  </w:num>
  <w:num w:numId="35">
    <w:abstractNumId w:val="20"/>
  </w:num>
  <w:num w:numId="36">
    <w:abstractNumId w:val="12"/>
  </w:num>
  <w:num w:numId="37">
    <w:abstractNumId w:val="6"/>
  </w:num>
  <w:num w:numId="38">
    <w:abstractNumId w:val="14"/>
  </w:num>
  <w:num w:numId="39">
    <w:abstractNumId w:val="7"/>
  </w:num>
  <w:num w:numId="4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2edcn9wipMLQnXhOa3FFlQmul8F7mqxv0tWFzM9au5n86LjH/HDzsOx36negq+Rr0QZ2oXvPKqpOEkcgcNqvjw==" w:salt="mm+U81nqvumYfDiP/qOT+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8657B"/>
    <w:rsid w:val="00190DEE"/>
    <w:rsid w:val="0019394B"/>
    <w:rsid w:val="00196911"/>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0B29"/>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09B6"/>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1A"/>
    <w:rsid w:val="00471E21"/>
    <w:rsid w:val="00475E9D"/>
    <w:rsid w:val="004767F2"/>
    <w:rsid w:val="00477474"/>
    <w:rsid w:val="00480A78"/>
    <w:rsid w:val="004846A4"/>
    <w:rsid w:val="00484C9B"/>
    <w:rsid w:val="00486A1F"/>
    <w:rsid w:val="00487EF1"/>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392"/>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1156"/>
    <w:rsid w:val="005B266A"/>
    <w:rsid w:val="005B4939"/>
    <w:rsid w:val="005B4E54"/>
    <w:rsid w:val="005B59C1"/>
    <w:rsid w:val="005C3493"/>
    <w:rsid w:val="005C34DE"/>
    <w:rsid w:val="005C35C2"/>
    <w:rsid w:val="005D090F"/>
    <w:rsid w:val="005D143E"/>
    <w:rsid w:val="005D3815"/>
    <w:rsid w:val="005D5AB9"/>
    <w:rsid w:val="005E0908"/>
    <w:rsid w:val="005E3E3F"/>
    <w:rsid w:val="005F7C07"/>
    <w:rsid w:val="00601025"/>
    <w:rsid w:val="00601282"/>
    <w:rsid w:val="00604BD4"/>
    <w:rsid w:val="0060554C"/>
    <w:rsid w:val="006068DE"/>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4670"/>
    <w:rsid w:val="006864ED"/>
    <w:rsid w:val="0069557B"/>
    <w:rsid w:val="00695612"/>
    <w:rsid w:val="006965C5"/>
    <w:rsid w:val="006A0A78"/>
    <w:rsid w:val="006A2454"/>
    <w:rsid w:val="006A2FA3"/>
    <w:rsid w:val="006A4C79"/>
    <w:rsid w:val="006A5518"/>
    <w:rsid w:val="006A6332"/>
    <w:rsid w:val="006A68F8"/>
    <w:rsid w:val="006A6E7B"/>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2782A"/>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2BBF"/>
    <w:rsid w:val="008B3485"/>
    <w:rsid w:val="008B5B04"/>
    <w:rsid w:val="008B728C"/>
    <w:rsid w:val="008C1C06"/>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17A13"/>
    <w:rsid w:val="0092121C"/>
    <w:rsid w:val="00922EA3"/>
    <w:rsid w:val="00922EF4"/>
    <w:rsid w:val="00923044"/>
    <w:rsid w:val="00923842"/>
    <w:rsid w:val="00923FC6"/>
    <w:rsid w:val="0092772C"/>
    <w:rsid w:val="00931764"/>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11C1"/>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189E"/>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60F3"/>
    <w:rsid w:val="00C27609"/>
    <w:rsid w:val="00C316E5"/>
    <w:rsid w:val="00C31BF2"/>
    <w:rsid w:val="00C31D7A"/>
    <w:rsid w:val="00C328E7"/>
    <w:rsid w:val="00C333D5"/>
    <w:rsid w:val="00C432C4"/>
    <w:rsid w:val="00C44AFE"/>
    <w:rsid w:val="00C44EDD"/>
    <w:rsid w:val="00C47794"/>
    <w:rsid w:val="00C47D1D"/>
    <w:rsid w:val="00C51643"/>
    <w:rsid w:val="00C55CBA"/>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29FB"/>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E71BF"/>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530C"/>
    <w:rsid w:val="00EA7401"/>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3CEA"/>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86DD19"/>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it-IT" w:eastAsia="it-IT" w:bidi="it-IT"/>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15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398505"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microsoft.com/en-us/legal/gdp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8FD4223-DF0E-46E7-AECB-88655F3DA2F9}">
  <ds:schemaRefs>
    <ds:schemaRef ds:uri="http://schemas.openxmlformats.org/officeDocument/2006/bibliography"/>
  </ds:schemaRefs>
</ds:datastoreItem>
</file>

<file path=customXml/itemProps2.xml><?xml version="1.0" encoding="utf-8"?>
<ds:datastoreItem xmlns:ds="http://schemas.openxmlformats.org/officeDocument/2006/customXml" ds:itemID="{1021B8DE-CA6F-4008-97F1-1FCDAE197634}"/>
</file>

<file path=customXml/itemProps3.xml><?xml version="1.0" encoding="utf-8"?>
<ds:datastoreItem xmlns:ds="http://schemas.openxmlformats.org/officeDocument/2006/customXml" ds:itemID="{0C8D3CE3-D454-4C37-8F4B-0CAF152DD9F0}"/>
</file>

<file path=customXml/itemProps4.xml><?xml version="1.0" encoding="utf-8"?>
<ds:datastoreItem xmlns:ds="http://schemas.openxmlformats.org/officeDocument/2006/customXml" ds:itemID="{F4A97DDD-EA97-4995-A0FE-B62B23D304D6}"/>
</file>

<file path=docProps/app.xml><?xml version="1.0" encoding="utf-8"?>
<Properties xmlns="http://schemas.openxmlformats.org/officeDocument/2006/extended-properties" xmlns:vt="http://schemas.openxmlformats.org/officeDocument/2006/docPropsVTypes">
  <Template>Normal</Template>
  <TotalTime>0</TotalTime>
  <Pages>5</Pages>
  <Words>2979</Words>
  <Characters>16984</Characters>
  <Application>Microsoft Office Word</Application>
  <DocSecurity>0</DocSecurity>
  <Lines>141</Lines>
  <Paragraphs>39</Paragraphs>
  <ScaleCrop>false</ScaleCrop>
  <Company/>
  <LinksUpToDate>false</LinksUpToDate>
  <CharactersWithSpaces>19924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2019-05-30T17:00:00Z</dcterms:created>
  <dcterms:modified xsi:type="dcterms:W3CDTF">2019-05-30T17:00:00Z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